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546"/>
      </w:tblGrid>
      <w:tr w:rsidR="00E31BA1" w:rsidRPr="006B3EAF" w14:paraId="2C1D1D9B" w14:textId="77777777" w:rsidTr="00560863">
        <w:trPr>
          <w:trHeight w:val="1267"/>
          <w:jc w:val="center"/>
        </w:trPr>
        <w:tc>
          <w:tcPr>
            <w:tcW w:w="2088" w:type="dxa"/>
          </w:tcPr>
          <w:p w14:paraId="34BC629B" w14:textId="77777777" w:rsidR="00E31BA1" w:rsidRPr="006B3EAF" w:rsidRDefault="00E31BA1" w:rsidP="000E0218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6B3EAF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6DFBAB89" wp14:editId="6AF08F4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  <w:vAlign w:val="center"/>
          </w:tcPr>
          <w:p w14:paraId="3A1F94BF" w14:textId="77777777" w:rsidR="00E31BA1" w:rsidRPr="006B3EAF" w:rsidRDefault="00E31BA1" w:rsidP="000E0218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6B3EAF">
              <w:rPr>
                <w:smallCaps/>
                <w:spacing w:val="20"/>
                <w:sz w:val="32"/>
                <w:szCs w:val="32"/>
              </w:rPr>
              <w:t>Hajdú-Bihar Vármegye Önkormányzatának</w:t>
            </w:r>
          </w:p>
          <w:p w14:paraId="689A4551" w14:textId="77777777" w:rsidR="00E31BA1" w:rsidRPr="006B3EAF" w:rsidRDefault="00E31BA1" w:rsidP="000E0218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6B3EAF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01621DC7" w14:textId="77777777" w:rsidR="00E31BA1" w:rsidRPr="006B3EAF" w:rsidRDefault="00E31BA1" w:rsidP="000E0218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740593A1" w14:textId="77777777" w:rsidR="00E31BA1" w:rsidRPr="006B3EAF" w:rsidRDefault="00E31BA1" w:rsidP="00E31BA1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14FD8868" w14:textId="77777777" w:rsidR="00E31BA1" w:rsidRPr="006B3EAF" w:rsidRDefault="00E31BA1" w:rsidP="00E31BA1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5D66B1DB" w14:textId="77777777" w:rsidR="00E31BA1" w:rsidRPr="006B3EAF" w:rsidRDefault="00E31BA1" w:rsidP="00E31BA1">
      <w:pPr>
        <w:tabs>
          <w:tab w:val="right" w:pos="9072"/>
        </w:tabs>
        <w:jc w:val="right"/>
        <w:rPr>
          <w:b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  <w:gridCol w:w="456"/>
      </w:tblGrid>
      <w:tr w:rsidR="00E31BA1" w:rsidRPr="006B3EAF" w14:paraId="3FA89E5C" w14:textId="77777777" w:rsidTr="00982853">
        <w:tc>
          <w:tcPr>
            <w:tcW w:w="9042" w:type="dxa"/>
          </w:tcPr>
          <w:p w14:paraId="2F72C383" w14:textId="77777777" w:rsidR="00E31BA1" w:rsidRPr="006B3EAF" w:rsidRDefault="00E31BA1" w:rsidP="000E0218">
            <w:pPr>
              <w:tabs>
                <w:tab w:val="right" w:pos="9072"/>
              </w:tabs>
              <w:jc w:val="center"/>
              <w:rPr>
                <w:b/>
              </w:rPr>
            </w:pPr>
            <w:r w:rsidRPr="006B3EAF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</w:tcPr>
          <w:p w14:paraId="60C34E88" w14:textId="3F830B1B" w:rsidR="00E31BA1" w:rsidRPr="006B3EAF" w:rsidRDefault="00CB7DF6" w:rsidP="000E0218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  <w:r w:rsidRPr="006B3EAF">
              <w:rPr>
                <w:b/>
                <w:sz w:val="32"/>
                <w:szCs w:val="32"/>
              </w:rPr>
              <w:t>2</w:t>
            </w:r>
            <w:r w:rsidR="00E31BA1" w:rsidRPr="006B3EAF">
              <w:rPr>
                <w:b/>
                <w:sz w:val="32"/>
                <w:szCs w:val="32"/>
              </w:rPr>
              <w:t>.</w:t>
            </w:r>
          </w:p>
        </w:tc>
      </w:tr>
    </w:tbl>
    <w:p w14:paraId="32091D51" w14:textId="77777777" w:rsidR="00E31BA1" w:rsidRPr="006B3EAF" w:rsidRDefault="00E31BA1" w:rsidP="00E31BA1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p w14:paraId="22B675B5" w14:textId="77777777" w:rsidR="00E31BA1" w:rsidRPr="006B3EAF" w:rsidRDefault="00E31BA1" w:rsidP="00E31BA1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6B3EAF" w:rsidRPr="006B3EAF" w14:paraId="1DCDBE1F" w14:textId="77777777" w:rsidTr="0072197D">
        <w:trPr>
          <w:trHeight w:val="851"/>
          <w:jc w:val="center"/>
        </w:trPr>
        <w:tc>
          <w:tcPr>
            <w:tcW w:w="2835" w:type="dxa"/>
            <w:vAlign w:val="center"/>
          </w:tcPr>
          <w:p w14:paraId="4CCE6CF5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vAlign w:val="center"/>
          </w:tcPr>
          <w:p w14:paraId="2636C26E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Pajna Zoltán, a Közgyűlés elnöke</w:t>
            </w:r>
          </w:p>
        </w:tc>
      </w:tr>
      <w:tr w:rsidR="006B3EAF" w:rsidRPr="006B3EAF" w14:paraId="0D2782D4" w14:textId="77777777" w:rsidTr="0072197D">
        <w:trPr>
          <w:trHeight w:val="851"/>
          <w:jc w:val="center"/>
        </w:trPr>
        <w:tc>
          <w:tcPr>
            <w:tcW w:w="2835" w:type="dxa"/>
            <w:vAlign w:val="center"/>
          </w:tcPr>
          <w:p w14:paraId="79035BAA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vAlign w:val="center"/>
          </w:tcPr>
          <w:p w14:paraId="10E06FA3" w14:textId="294894B7" w:rsidR="00E31BA1" w:rsidRPr="006B3EAF" w:rsidRDefault="00E31BA1" w:rsidP="000E0218">
            <w:pPr>
              <w:contextualSpacing/>
              <w:jc w:val="both"/>
              <w:rPr>
                <w:sz w:val="26"/>
                <w:szCs w:val="26"/>
              </w:rPr>
            </w:pPr>
            <w:bookmarkStart w:id="0" w:name="_Hlk130548362"/>
            <w:r w:rsidRPr="006B3EAF">
              <w:rPr>
                <w:rFonts w:eastAsiaTheme="minorHAnsi"/>
                <w:sz w:val="26"/>
                <w:szCs w:val="26"/>
                <w:lang w:eastAsia="en-US"/>
              </w:rPr>
              <w:t>Hajdú-Bihar Vármegye Integrált Területi Program</w:t>
            </w:r>
            <w:r w:rsidR="00436FD6" w:rsidRPr="006B3EAF">
              <w:rPr>
                <w:rFonts w:eastAsiaTheme="minorHAnsi"/>
                <w:sz w:val="26"/>
                <w:szCs w:val="26"/>
                <w:lang w:eastAsia="en-US"/>
              </w:rPr>
              <w:t>j</w:t>
            </w:r>
            <w:r w:rsidR="005C58B9" w:rsidRPr="006B3EAF">
              <w:rPr>
                <w:rFonts w:eastAsiaTheme="minorHAnsi"/>
                <w:sz w:val="26"/>
                <w:szCs w:val="26"/>
                <w:lang w:eastAsia="en-US"/>
              </w:rPr>
              <w:t>a</w:t>
            </w:r>
            <w:r w:rsidRPr="006B3EAF">
              <w:rPr>
                <w:rFonts w:eastAsiaTheme="minorHAnsi"/>
                <w:sz w:val="26"/>
                <w:szCs w:val="26"/>
                <w:lang w:eastAsia="en-US"/>
              </w:rPr>
              <w:t xml:space="preserve"> 2021-</w:t>
            </w:r>
            <w:r w:rsidR="00436FD6" w:rsidRPr="006B3EAF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6B3EAF">
              <w:rPr>
                <w:rFonts w:eastAsiaTheme="minorHAnsi"/>
                <w:sz w:val="26"/>
                <w:szCs w:val="26"/>
                <w:lang w:eastAsia="en-US"/>
              </w:rPr>
              <w:t>27 c</w:t>
            </w:r>
            <w:r w:rsidR="005C58B9" w:rsidRPr="006B3EAF">
              <w:rPr>
                <w:rFonts w:eastAsiaTheme="minorHAnsi"/>
                <w:sz w:val="26"/>
                <w:szCs w:val="26"/>
                <w:lang w:eastAsia="en-US"/>
              </w:rPr>
              <w:t>ímű</w:t>
            </w:r>
            <w:r w:rsidRPr="006B3EAF">
              <w:rPr>
                <w:rFonts w:eastAsiaTheme="minorHAnsi"/>
                <w:sz w:val="26"/>
                <w:szCs w:val="26"/>
                <w:lang w:eastAsia="en-US"/>
              </w:rPr>
              <w:t xml:space="preserve"> dokumentum módosítása</w:t>
            </w:r>
            <w:bookmarkEnd w:id="0"/>
          </w:p>
        </w:tc>
      </w:tr>
      <w:tr w:rsidR="006B3EAF" w:rsidRPr="006B3EAF" w14:paraId="2B6F0F04" w14:textId="77777777" w:rsidTr="0072197D">
        <w:trPr>
          <w:trHeight w:val="851"/>
          <w:jc w:val="center"/>
        </w:trPr>
        <w:tc>
          <w:tcPr>
            <w:tcW w:w="2835" w:type="dxa"/>
            <w:vAlign w:val="center"/>
          </w:tcPr>
          <w:p w14:paraId="3FD2C4D9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5" w:type="dxa"/>
            <w:vAlign w:val="center"/>
          </w:tcPr>
          <w:p w14:paraId="13D69DC3" w14:textId="77777777" w:rsidR="00E31BA1" w:rsidRPr="006B3EAF" w:rsidRDefault="00E31BA1" w:rsidP="000E0218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B3EAF">
              <w:rPr>
                <w:sz w:val="26"/>
                <w:szCs w:val="26"/>
              </w:rPr>
              <w:t>Czapp Zsuzsa</w:t>
            </w:r>
          </w:p>
        </w:tc>
      </w:tr>
      <w:tr w:rsidR="006B3EAF" w:rsidRPr="006B3EAF" w14:paraId="032C770F" w14:textId="77777777" w:rsidTr="0072197D">
        <w:trPr>
          <w:trHeight w:val="851"/>
          <w:jc w:val="center"/>
        </w:trPr>
        <w:tc>
          <w:tcPr>
            <w:tcW w:w="2835" w:type="dxa"/>
            <w:vAlign w:val="center"/>
          </w:tcPr>
          <w:p w14:paraId="5E9FE9BD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Mellékletek:</w:t>
            </w:r>
          </w:p>
        </w:tc>
        <w:tc>
          <w:tcPr>
            <w:tcW w:w="6235" w:type="dxa"/>
            <w:vAlign w:val="center"/>
          </w:tcPr>
          <w:p w14:paraId="41A39306" w14:textId="77777777" w:rsidR="008224D3" w:rsidRDefault="00E31BA1" w:rsidP="00982853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Miniszterelnökség Területfejlesztési Operatív Programok Irányító Hatóság Stratégiai Tervezési és Értékelési Főosztályának visszajelzése a dokumentumra vonatkozóan</w:t>
            </w:r>
            <w:r w:rsidR="00982853" w:rsidRPr="006B3EAF">
              <w:rPr>
                <w:sz w:val="26"/>
                <w:szCs w:val="26"/>
              </w:rPr>
              <w:t xml:space="preserve"> </w:t>
            </w:r>
          </w:p>
          <w:p w14:paraId="4801C3BB" w14:textId="67FBCAE5" w:rsidR="00E31BA1" w:rsidRPr="006B3EAF" w:rsidRDefault="00982853" w:rsidP="008224D3">
            <w:pPr>
              <w:ind w:left="360"/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(Előterjesztés melléklete)</w:t>
            </w:r>
          </w:p>
          <w:p w14:paraId="7563B9CA" w14:textId="77777777" w:rsidR="00982853" w:rsidRPr="006B3EAF" w:rsidRDefault="00982853" w:rsidP="000E0218">
            <w:pPr>
              <w:jc w:val="both"/>
              <w:rPr>
                <w:sz w:val="26"/>
                <w:szCs w:val="26"/>
              </w:rPr>
            </w:pPr>
          </w:p>
          <w:p w14:paraId="5E4E31E7" w14:textId="17FDBF41" w:rsidR="00E31BA1" w:rsidRPr="006B3EAF" w:rsidRDefault="00E31BA1" w:rsidP="000E0218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Integrált Területi Program szöveges dokumentuma (Határozati javaslat 1. melléklete)</w:t>
            </w:r>
          </w:p>
          <w:p w14:paraId="78DD4222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</w:p>
          <w:p w14:paraId="243CD33F" w14:textId="4363818F" w:rsidR="00982853" w:rsidRPr="006B3EAF" w:rsidRDefault="00E31BA1" w:rsidP="00982853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Integrált Területi Program táblázatai</w:t>
            </w:r>
            <w:r w:rsidR="00982853" w:rsidRPr="006B3EAF">
              <w:rPr>
                <w:sz w:val="26"/>
                <w:szCs w:val="26"/>
              </w:rPr>
              <w:t xml:space="preserve"> </w:t>
            </w:r>
          </w:p>
          <w:p w14:paraId="60B10C29" w14:textId="0A1300CA" w:rsidR="00E31BA1" w:rsidRPr="006B3EAF" w:rsidRDefault="00E31BA1" w:rsidP="00982853">
            <w:pPr>
              <w:ind w:left="360"/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(Határozati javaslat 2. melléklete)</w:t>
            </w:r>
          </w:p>
        </w:tc>
      </w:tr>
      <w:tr w:rsidR="00E31BA1" w:rsidRPr="006B3EAF" w14:paraId="049064ED" w14:textId="77777777" w:rsidTr="0072197D">
        <w:trPr>
          <w:trHeight w:val="851"/>
          <w:jc w:val="center"/>
        </w:trPr>
        <w:tc>
          <w:tcPr>
            <w:tcW w:w="2835" w:type="dxa"/>
            <w:vAlign w:val="center"/>
          </w:tcPr>
          <w:p w14:paraId="5BE03F15" w14:textId="77777777" w:rsidR="00E31BA1" w:rsidRPr="006B3EAF" w:rsidRDefault="00E31BA1" w:rsidP="000E0218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5" w:type="dxa"/>
            <w:vAlign w:val="center"/>
          </w:tcPr>
          <w:p w14:paraId="44E0F128" w14:textId="77777777" w:rsidR="00E31BA1" w:rsidRPr="006B3EAF" w:rsidRDefault="00E31BA1" w:rsidP="000E0218">
            <w:pPr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Fejlesztési, Tervezési és Stratégiai Bizottság</w:t>
            </w:r>
          </w:p>
        </w:tc>
      </w:tr>
    </w:tbl>
    <w:p w14:paraId="327C7FF6" w14:textId="77777777" w:rsidR="00E31BA1" w:rsidRPr="006B3EAF" w:rsidRDefault="00E31BA1" w:rsidP="00E31BA1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p w14:paraId="6D45CC1E" w14:textId="77777777" w:rsidR="00E31BA1" w:rsidRPr="006B3EAF" w:rsidRDefault="00E31BA1" w:rsidP="00E31BA1">
      <w:pPr>
        <w:tabs>
          <w:tab w:val="right" w:pos="9072"/>
        </w:tabs>
        <w:rPr>
          <w:highlight w:val="yellow"/>
        </w:rPr>
      </w:pPr>
    </w:p>
    <w:p w14:paraId="29B48D3E" w14:textId="77777777" w:rsidR="00E31BA1" w:rsidRPr="006B3EAF" w:rsidRDefault="00E31BA1" w:rsidP="00E31BA1">
      <w:pPr>
        <w:tabs>
          <w:tab w:val="right" w:pos="9072"/>
        </w:tabs>
        <w:rPr>
          <w:b/>
          <w:bCs/>
          <w:highlight w:val="yellow"/>
        </w:rPr>
      </w:pPr>
    </w:p>
    <w:p w14:paraId="0E9B3E32" w14:textId="77777777" w:rsidR="00E31BA1" w:rsidRPr="006B3EAF" w:rsidRDefault="00E31BA1" w:rsidP="00E31BA1">
      <w:pPr>
        <w:tabs>
          <w:tab w:val="right" w:pos="9072"/>
        </w:tabs>
        <w:rPr>
          <w:b/>
          <w:bCs/>
          <w:highlight w:val="yellow"/>
        </w:rPr>
      </w:pPr>
    </w:p>
    <w:p w14:paraId="74ADC041" w14:textId="77777777" w:rsidR="00E31BA1" w:rsidRPr="006B3EAF" w:rsidRDefault="00E31BA1" w:rsidP="00E31BA1">
      <w:pPr>
        <w:tabs>
          <w:tab w:val="right" w:pos="9072"/>
        </w:tabs>
        <w:rPr>
          <w:b/>
          <w:bCs/>
          <w:highlight w:val="yellow"/>
        </w:rPr>
      </w:pPr>
    </w:p>
    <w:p w14:paraId="48B57161" w14:textId="77777777" w:rsidR="00E31BA1" w:rsidRPr="006B3EAF" w:rsidRDefault="00E31BA1" w:rsidP="00E31BA1">
      <w:pPr>
        <w:tabs>
          <w:tab w:val="right" w:pos="9072"/>
        </w:tabs>
        <w:rPr>
          <w:b/>
          <w:bCs/>
          <w:highlight w:val="yellow"/>
        </w:rPr>
      </w:pPr>
    </w:p>
    <w:p w14:paraId="73CB6223" w14:textId="77777777" w:rsidR="00E31BA1" w:rsidRPr="006B3EAF" w:rsidRDefault="00E31BA1" w:rsidP="00E31BA1">
      <w:pPr>
        <w:tabs>
          <w:tab w:val="right" w:pos="9072"/>
        </w:tabs>
        <w:rPr>
          <w:b/>
          <w:bCs/>
          <w:highlight w:val="yellow"/>
        </w:rPr>
      </w:pPr>
    </w:p>
    <w:p w14:paraId="5C80D8FE" w14:textId="77777777" w:rsidR="00E31BA1" w:rsidRPr="006B3EAF" w:rsidRDefault="00E31BA1" w:rsidP="00E31BA1">
      <w:pPr>
        <w:tabs>
          <w:tab w:val="right" w:pos="9072"/>
        </w:tabs>
        <w:rPr>
          <w:b/>
          <w:bCs/>
          <w:highlight w:val="yellow"/>
        </w:rPr>
      </w:pPr>
    </w:p>
    <w:p w14:paraId="561160EA" w14:textId="77777777" w:rsidR="00E31BA1" w:rsidRPr="006B3EAF" w:rsidRDefault="00E31BA1" w:rsidP="00E31BA1">
      <w:pPr>
        <w:spacing w:after="160" w:line="259" w:lineRule="auto"/>
        <w:rPr>
          <w:b/>
          <w:bCs/>
          <w:highlight w:val="yellow"/>
        </w:rPr>
      </w:pPr>
      <w:r w:rsidRPr="006B3EAF">
        <w:rPr>
          <w:b/>
          <w:bCs/>
          <w:highlight w:val="yellow"/>
        </w:rPr>
        <w:br w:type="page"/>
      </w:r>
    </w:p>
    <w:p w14:paraId="73BFC646" w14:textId="77777777" w:rsidR="00E31BA1" w:rsidRPr="006B3EAF" w:rsidRDefault="00E31BA1" w:rsidP="00E31BA1">
      <w:pPr>
        <w:tabs>
          <w:tab w:val="right" w:pos="9072"/>
        </w:tabs>
        <w:rPr>
          <w:b/>
          <w:bCs/>
        </w:rPr>
      </w:pPr>
      <w:r w:rsidRPr="006B3EAF">
        <w:rPr>
          <w:b/>
          <w:bCs/>
        </w:rPr>
        <w:lastRenderedPageBreak/>
        <w:t>Tisztelt Közgyűlés!</w:t>
      </w:r>
    </w:p>
    <w:p w14:paraId="1F266065" w14:textId="77777777" w:rsidR="00E31BA1" w:rsidRPr="006B3EAF" w:rsidRDefault="00E31BA1" w:rsidP="00E31BA1">
      <w:pPr>
        <w:tabs>
          <w:tab w:val="right" w:pos="9072"/>
        </w:tabs>
        <w:jc w:val="both"/>
        <w:rPr>
          <w:b/>
          <w:sz w:val="20"/>
          <w:szCs w:val="20"/>
          <w:highlight w:val="yellow"/>
        </w:rPr>
      </w:pPr>
    </w:p>
    <w:p w14:paraId="1E4CCB00" w14:textId="7D46AAB4" w:rsidR="00E31BA1" w:rsidRPr="006B3EAF" w:rsidRDefault="00E31BA1" w:rsidP="00E31BA1">
      <w:pPr>
        <w:jc w:val="both"/>
        <w:rPr>
          <w:highlight w:val="yellow"/>
        </w:rPr>
      </w:pPr>
      <w:r w:rsidRPr="006B3EAF">
        <w:t>A Hajdú-Bihar Megyei Önkormányzat K</w:t>
      </w:r>
      <w:r w:rsidRPr="006B3EAF">
        <w:rPr>
          <w:bCs/>
        </w:rPr>
        <w:t>özgyűlése a 2/2021. (VII. 9.) határozatával fogadta el a „Hajdú-Bihar megye Integrált Területi Programja 2021-2027” című dokumentumot (továbbiakban: megyei ITP); az Előzetes Integrált Területi Programot az 1658/2021. (IX. 24.) Korm. határozatával</w:t>
      </w:r>
      <w:r w:rsidRPr="006B3EAF">
        <w:t xml:space="preserve"> </w:t>
      </w:r>
      <w:r w:rsidRPr="006B3EAF">
        <w:rPr>
          <w:bCs/>
        </w:rPr>
        <w:t xml:space="preserve">a Kormány változatlan tartalommal hagyta jóvá. </w:t>
      </w:r>
      <w:r w:rsidRPr="006B3EAF">
        <w:t>A 2021-2027 programozási időszakban az egyes európai uniós alapokból származó támogatások felhasználásának rendjéről szóló 256/2021. (V. 18.) Korm. rendelet 68.</w:t>
      </w:r>
      <w:r w:rsidR="003A7462" w:rsidRPr="006B3EAF">
        <w:t xml:space="preserve"> </w:t>
      </w:r>
      <w:r w:rsidRPr="006B3EAF">
        <w:t xml:space="preserve">§ (5) </w:t>
      </w:r>
      <w:r w:rsidR="003A7462" w:rsidRPr="006B3EAF">
        <w:t xml:space="preserve">bekezdése </w:t>
      </w:r>
      <w:r w:rsidRPr="006B3EAF">
        <w:t>alapján a vármegyei önkormányzat, mint területi szereplő évente kétszer kezdeményezheti az ITP módosítását, melyre eddig egy alkalommal került sor</w:t>
      </w:r>
      <w:r w:rsidR="00057770" w:rsidRPr="006B3EAF">
        <w:t>, a</w:t>
      </w:r>
      <w:r w:rsidRPr="006B3EAF">
        <w:rPr>
          <w:bCs/>
        </w:rPr>
        <w:t xml:space="preserve"> </w:t>
      </w:r>
      <w:r w:rsidR="00057770" w:rsidRPr="006B3EAF">
        <w:rPr>
          <w:bCs/>
        </w:rPr>
        <w:t>k</w:t>
      </w:r>
      <w:r w:rsidRPr="006B3EAF">
        <w:rPr>
          <w:bCs/>
        </w:rPr>
        <w:t xml:space="preserve">özgyűlés </w:t>
      </w:r>
      <w:r w:rsidRPr="001F6ED4">
        <w:rPr>
          <w:bCs/>
        </w:rPr>
        <w:t>63/2022. (V. 27.)</w:t>
      </w:r>
      <w:r w:rsidRPr="006B3EAF">
        <w:rPr>
          <w:bCs/>
        </w:rPr>
        <w:t xml:space="preserve"> határozat</w:t>
      </w:r>
      <w:r w:rsidR="00057770" w:rsidRPr="006B3EAF">
        <w:rPr>
          <w:bCs/>
        </w:rPr>
        <w:t xml:space="preserve">ának </w:t>
      </w:r>
      <w:r w:rsidRPr="006B3EAF">
        <w:rPr>
          <w:bCs/>
        </w:rPr>
        <w:t>elfogadásá</w:t>
      </w:r>
      <w:r w:rsidR="00057770" w:rsidRPr="006B3EAF">
        <w:rPr>
          <w:bCs/>
        </w:rPr>
        <w:t>val.</w:t>
      </w:r>
      <w:r w:rsidRPr="006B3EAF">
        <w:rPr>
          <w:bCs/>
        </w:rPr>
        <w:t xml:space="preserve"> A módosítás értelmében a korábbi </w:t>
      </w:r>
      <w:r w:rsidR="00920D00" w:rsidRPr="006B3EAF">
        <w:rPr>
          <w:bCs/>
        </w:rPr>
        <w:br/>
      </w:r>
      <w:r w:rsidRPr="006B3EAF">
        <w:rPr>
          <w:bCs/>
        </w:rPr>
        <w:t>116,139 Mrd Ft-os keretösszeg 127,322 Mrd Ft-ra emelkedett az egyes prioritások és felhívások keretösszegének megnövelésével.</w:t>
      </w:r>
    </w:p>
    <w:p w14:paraId="03147D58" w14:textId="77777777" w:rsidR="00E31BA1" w:rsidRPr="006B3EAF" w:rsidRDefault="00E31BA1" w:rsidP="00E31BA1">
      <w:pPr>
        <w:tabs>
          <w:tab w:val="right" w:pos="9072"/>
        </w:tabs>
        <w:jc w:val="both"/>
        <w:rPr>
          <w:sz w:val="20"/>
          <w:szCs w:val="20"/>
          <w:highlight w:val="yellow"/>
        </w:rPr>
      </w:pPr>
    </w:p>
    <w:p w14:paraId="4419513D" w14:textId="376CA4D3" w:rsidR="00E31BA1" w:rsidRPr="006B3EAF" w:rsidRDefault="00E31BA1" w:rsidP="00E31BA1">
      <w:pPr>
        <w:tabs>
          <w:tab w:val="right" w:pos="9072"/>
        </w:tabs>
        <w:jc w:val="both"/>
      </w:pPr>
      <w:r w:rsidRPr="006B3EAF">
        <w:t>Az ITP jelen módosítás</w:t>
      </w:r>
      <w:r w:rsidR="00FB215C">
        <w:t>á</w:t>
      </w:r>
      <w:r w:rsidRPr="006B3EAF">
        <w:t>t az alábbiak indokolják:</w:t>
      </w:r>
    </w:p>
    <w:p w14:paraId="1A4E7AD0" w14:textId="77777777" w:rsidR="00E31BA1" w:rsidRPr="006B3EAF" w:rsidRDefault="00E31BA1" w:rsidP="00E31BA1">
      <w:pPr>
        <w:tabs>
          <w:tab w:val="right" w:pos="9072"/>
        </w:tabs>
        <w:jc w:val="both"/>
        <w:rPr>
          <w:sz w:val="18"/>
          <w:szCs w:val="18"/>
          <w:highlight w:val="yellow"/>
        </w:rPr>
      </w:pPr>
    </w:p>
    <w:p w14:paraId="4FCA4C63" w14:textId="2569B06A" w:rsidR="00E31BA1" w:rsidRPr="006B3EAF" w:rsidRDefault="00E31BA1" w:rsidP="00D1668C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 Hajdú-Bihar Vármegyei Önkormányzati Hivatal 2023. jan</w:t>
      </w:r>
      <w:r w:rsidR="001F6ED4">
        <w:rPr>
          <w:rFonts w:ascii="Times New Roman" w:hAnsi="Times New Roman" w:cs="Times New Roman"/>
          <w:bCs/>
          <w:sz w:val="24"/>
          <w:szCs w:val="24"/>
        </w:rPr>
        <w:t>uár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24. napon kapott hivatalos tájékoztatást a Miniszterelnökség </w:t>
      </w:r>
      <w:hyperlink r:id="rId8" w:history="1">
        <w:r w:rsidRPr="006B3EAF">
          <w:rPr>
            <w:rFonts w:ascii="Times New Roman" w:hAnsi="Times New Roman" w:cs="Times New Roman"/>
            <w:bCs/>
            <w:sz w:val="24"/>
            <w:szCs w:val="24"/>
          </w:rPr>
          <w:t>területfejlesztési programok végrehajtásáért felelős helyettes államtitkár</w:t>
        </w:r>
      </w:hyperlink>
      <w:r w:rsidRPr="006B3EAF">
        <w:rPr>
          <w:rFonts w:ascii="Times New Roman" w:hAnsi="Times New Roman" w:cs="Times New Roman"/>
          <w:bCs/>
          <w:sz w:val="24"/>
          <w:szCs w:val="24"/>
        </w:rPr>
        <w:t>ságától, hogy 2022. dec</w:t>
      </w:r>
      <w:r w:rsidR="001F6ED4">
        <w:rPr>
          <w:rFonts w:ascii="Times New Roman" w:hAnsi="Times New Roman" w:cs="Times New Roman"/>
          <w:bCs/>
          <w:sz w:val="24"/>
          <w:szCs w:val="24"/>
        </w:rPr>
        <w:t xml:space="preserve">ember </w:t>
      </w:r>
      <w:r w:rsidRPr="006B3EAF">
        <w:rPr>
          <w:rFonts w:ascii="Times New Roman" w:hAnsi="Times New Roman" w:cs="Times New Roman"/>
          <w:bCs/>
          <w:sz w:val="24"/>
          <w:szCs w:val="24"/>
        </w:rPr>
        <w:t>22. nap</w:t>
      </w:r>
      <w:r w:rsidR="001F6ED4">
        <w:rPr>
          <w:rFonts w:ascii="Times New Roman" w:hAnsi="Times New Roman" w:cs="Times New Roman"/>
          <w:bCs/>
          <w:sz w:val="24"/>
          <w:szCs w:val="24"/>
        </w:rPr>
        <w:t>já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n az Európai Bizottság elfogadta a Terület- és Településfejlesztési Operatív Program Plusz-t. A döntést megelőző bizottsági tárgyalások során olyan módosítások, korlátozások kerültek a programban rögzítésre, melyek szükségessé teszik a hatályos, Hajdú-Bihar megye </w:t>
      </w:r>
      <w:r w:rsidR="00EE4EB5">
        <w:rPr>
          <w:rFonts w:ascii="Times New Roman" w:hAnsi="Times New Roman" w:cs="Times New Roman"/>
          <w:bCs/>
          <w:sz w:val="24"/>
          <w:szCs w:val="24"/>
        </w:rPr>
        <w:t>E</w:t>
      </w:r>
      <w:r w:rsidRPr="006B3EAF">
        <w:rPr>
          <w:rFonts w:ascii="Times New Roman" w:hAnsi="Times New Roman" w:cs="Times New Roman"/>
          <w:bCs/>
          <w:sz w:val="24"/>
          <w:szCs w:val="24"/>
        </w:rPr>
        <w:t>lőzetes Integrált Területi Programja 2021-2027 c</w:t>
      </w:r>
      <w:r w:rsidR="00EE4EB5">
        <w:rPr>
          <w:rFonts w:ascii="Times New Roman" w:hAnsi="Times New Roman" w:cs="Times New Roman"/>
          <w:bCs/>
          <w:sz w:val="24"/>
          <w:szCs w:val="24"/>
        </w:rPr>
        <w:t>ímű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dokumentum 2.0 verzió módosítását és kérték azok átvezetését a dokumentumon.</w:t>
      </w:r>
    </w:p>
    <w:p w14:paraId="1EE14F1A" w14:textId="62A18B01" w:rsidR="00E31BA1" w:rsidRPr="006B3EAF" w:rsidRDefault="00E31BA1" w:rsidP="00D1668C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Annak érdekében, hogy a TOP_Plusz-ban eddig meg nem hirdetett felhívások megjelenhessenek, illetve megtörténhessen program szinten az árfolyam (Ft- Euro árfolyam változásából fakadó) növekmény beépítése a tervezési dokumentumba, az Integrált Területi Program 2 ütemben történő módosítását várja el a Miniszterelnökség. Az 1. ütemben a meghozott DEB döntések alapján az ITP aktualizálása és az Operatív Program (továbbiakban: OP) szerkezetéhez történő igazítása a feladat. A 2. ütemben szükséges felmérni az OP-ban rögzített feltételek %-os teljesülését, az indikátor vállalásokat a Döntés-előkészítő Bizottság (továbbiakban: DEB) döntései alapján, továbbá figyelembe kell venni az Európai Bizottság által elfogadott Tematikus vállalásokra vonatkozó korlátok teljesítését az árfolyamnövekmény felhasználása során.</w:t>
      </w:r>
    </w:p>
    <w:p w14:paraId="44A469D1" w14:textId="41DCD9D7" w:rsidR="00E31BA1" w:rsidRPr="006B3EAF" w:rsidRDefault="00E31BA1" w:rsidP="00D1668C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 xml:space="preserve">A TOP_Plusz az ország területi kihívásaira reagál, ennek érdekében területi (vármegyei, fővárosi) forrásallokációt és területi célzást alkalmaz, mely alapján a vármegyékre jutó indikatív forráskeret legalább 65%-át a legkevésbé fejlett négy régióba, legalább 10%-át a komplex programmal fejlesztendő járásokra (36 LHH járás) irányítja és a vármegyéken belül további területi célzást ír elő a komplex programmal fejlesztendő járásokra és az OFTK által kiemelt térségekre (4 térség). </w:t>
      </w:r>
    </w:p>
    <w:p w14:paraId="727C5ACD" w14:textId="77777777" w:rsidR="00E31BA1" w:rsidRPr="006B3EAF" w:rsidRDefault="00E31BA1" w:rsidP="00605D53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 program a főbb tématerületek OP szintű minimum allokációját rögzíti, melynek program szinten szükséges teljesülnie, ugyanakkor a területi szereplő részéről is szükséges a minimum allokációk figyelembevétele a vármegyei tervezés kapcsán. A korlátok az alábbiak:</w:t>
      </w:r>
    </w:p>
    <w:p w14:paraId="27B46F8C" w14:textId="77777777" w:rsidR="00E31BA1" w:rsidRPr="006B3EAF" w:rsidRDefault="00E31BA1" w:rsidP="00E31BA1">
      <w:pPr>
        <w:pStyle w:val="Listaszerbekezds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sz w:val="24"/>
          <w:szCs w:val="24"/>
        </w:rPr>
        <w:t>a humán infrastruktúra: megyei ERFA legalább 20%-a (1., 3. prioritás),</w:t>
      </w:r>
    </w:p>
    <w:p w14:paraId="5028181D" w14:textId="77777777" w:rsidR="00E31BA1" w:rsidRPr="006B3EAF" w:rsidRDefault="00E31BA1" w:rsidP="00E31BA1">
      <w:pPr>
        <w:pStyle w:val="Listaszerbekezds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sz w:val="24"/>
          <w:szCs w:val="24"/>
        </w:rPr>
        <w:t>humánfejlesztési programok: megyei ESZA+ legalább 27%-a (3. prioritás),</w:t>
      </w:r>
    </w:p>
    <w:p w14:paraId="2D31EA9A" w14:textId="77777777" w:rsidR="00E31BA1" w:rsidRPr="006B3EAF" w:rsidRDefault="00E31BA1" w:rsidP="00E31BA1">
      <w:pPr>
        <w:pStyle w:val="Listaszerbekezds"/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sz w:val="24"/>
          <w:szCs w:val="24"/>
        </w:rPr>
        <w:t xml:space="preserve">szociális városrehabilitáció (1., 3. prioritás): megyei ERFA legalább 1,5%-a </w:t>
      </w:r>
    </w:p>
    <w:p w14:paraId="6F01D628" w14:textId="77777777" w:rsidR="00E31BA1" w:rsidRPr="006B3EAF" w:rsidRDefault="00E31BA1" w:rsidP="00E31BA1">
      <w:pPr>
        <w:pStyle w:val="Default"/>
        <w:numPr>
          <w:ilvl w:val="0"/>
          <w:numId w:val="12"/>
        </w:numPr>
        <w:ind w:left="1418"/>
        <w:jc w:val="both"/>
        <w:rPr>
          <w:color w:val="auto"/>
        </w:rPr>
      </w:pPr>
      <w:r w:rsidRPr="006B3EAF">
        <w:rPr>
          <w:color w:val="auto"/>
        </w:rPr>
        <w:t>kiegészítik a társadalmi felzárkózás tematikus koncentrációhoz hozzájáruló beavatkozások a megyei ESZA+ legalább 10%-ával,</w:t>
      </w:r>
    </w:p>
    <w:p w14:paraId="3481AFEC" w14:textId="77777777" w:rsidR="00E31BA1" w:rsidRPr="006B3EAF" w:rsidRDefault="00E31BA1" w:rsidP="00E31BA1">
      <w:pPr>
        <w:pStyle w:val="Listaszerbekezds"/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sz w:val="24"/>
          <w:szCs w:val="24"/>
        </w:rPr>
        <w:t>fenntarthatóság, klímacélok,</w:t>
      </w:r>
    </w:p>
    <w:p w14:paraId="6E46C015" w14:textId="77777777" w:rsidR="00E31BA1" w:rsidRPr="006B3EAF" w:rsidRDefault="00E31BA1" w:rsidP="00E31BA1">
      <w:pPr>
        <w:pStyle w:val="Default"/>
        <w:numPr>
          <w:ilvl w:val="1"/>
          <w:numId w:val="11"/>
        </w:numPr>
        <w:ind w:left="1418"/>
        <w:jc w:val="both"/>
        <w:rPr>
          <w:color w:val="auto"/>
        </w:rPr>
      </w:pPr>
      <w:r w:rsidRPr="006B3EAF">
        <w:rPr>
          <w:color w:val="auto"/>
        </w:rPr>
        <w:t>zöld és kék infrastruktúra: megyei ERFA legalább 11%-a (1. prioritás); önkormányzati energetika (2. prioritás) a megyei ERFA legalább 12%-a,</w:t>
      </w:r>
    </w:p>
    <w:p w14:paraId="2B43CD2E" w14:textId="4FFF4CEA" w:rsidR="00E31BA1" w:rsidRPr="006B3EAF" w:rsidRDefault="00E31BA1" w:rsidP="00E31BA1">
      <w:pPr>
        <w:pStyle w:val="Default"/>
        <w:numPr>
          <w:ilvl w:val="1"/>
          <w:numId w:val="11"/>
        </w:numPr>
        <w:ind w:left="1418"/>
        <w:jc w:val="both"/>
        <w:rPr>
          <w:color w:val="auto"/>
        </w:rPr>
      </w:pPr>
      <w:r w:rsidRPr="006B3EAF">
        <w:rPr>
          <w:color w:val="auto"/>
        </w:rPr>
        <w:lastRenderedPageBreak/>
        <w:t xml:space="preserve">kiegészítik a klíma-, energiatudatosságot, környezeti szemléletet erősítő helyi akciók ERFA és ESZA+ </w:t>
      </w:r>
      <w:r w:rsidR="00FB215C">
        <w:rPr>
          <w:color w:val="auto"/>
        </w:rPr>
        <w:t xml:space="preserve">forrásai </w:t>
      </w:r>
      <w:r w:rsidRPr="006B3EAF">
        <w:rPr>
          <w:color w:val="auto"/>
        </w:rPr>
        <w:t>(1. és 3. prioritás),</w:t>
      </w:r>
    </w:p>
    <w:p w14:paraId="632338BF" w14:textId="77777777" w:rsidR="00E31BA1" w:rsidRPr="006B3EAF" w:rsidRDefault="00E31BA1" w:rsidP="00E31BA1">
      <w:pPr>
        <w:pStyle w:val="Listaszerbekezds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sz w:val="24"/>
          <w:szCs w:val="24"/>
        </w:rPr>
        <w:t>foglalkoztatás javítása: megyei ESZA+ legalább 33%-a; (3. prioritás).</w:t>
      </w:r>
    </w:p>
    <w:p w14:paraId="5944EBD3" w14:textId="77777777" w:rsidR="00E31BA1" w:rsidRPr="006B3EAF" w:rsidRDefault="00E31BA1" w:rsidP="00E31BA1">
      <w:pPr>
        <w:pStyle w:val="Listaszerbekezds"/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sz w:val="24"/>
          <w:szCs w:val="24"/>
        </w:rPr>
        <w:t xml:space="preserve">Fenntartható városfejlesztés: </w:t>
      </w:r>
    </w:p>
    <w:p w14:paraId="4417E1D5" w14:textId="77777777" w:rsidR="00E31BA1" w:rsidRPr="006B3EAF" w:rsidRDefault="00E31BA1" w:rsidP="00E31BA1">
      <w:pPr>
        <w:pStyle w:val="Default"/>
        <w:numPr>
          <w:ilvl w:val="0"/>
          <w:numId w:val="10"/>
        </w:numPr>
        <w:ind w:left="1418" w:hanging="284"/>
        <w:jc w:val="both"/>
        <w:rPr>
          <w:color w:val="auto"/>
        </w:rPr>
      </w:pPr>
      <w:r w:rsidRPr="006B3EAF">
        <w:rPr>
          <w:color w:val="auto"/>
        </w:rPr>
        <w:t xml:space="preserve">A TOP Plusz ERFA legalább 30%-a, teljesítve az ERFA min. 8%-ra vonatkozó előírást az 1-3. és 6. prioritások tématerületi tartalmával a megyékben, és a 4. prioritás tartalmával Budapesten. </w:t>
      </w:r>
    </w:p>
    <w:p w14:paraId="633F7C99" w14:textId="77777777" w:rsidR="00E31BA1" w:rsidRPr="006B3EAF" w:rsidRDefault="00E31BA1" w:rsidP="00E31BA1">
      <w:pPr>
        <w:pStyle w:val="Default"/>
        <w:numPr>
          <w:ilvl w:val="0"/>
          <w:numId w:val="10"/>
        </w:numPr>
        <w:ind w:left="1418" w:hanging="284"/>
        <w:jc w:val="both"/>
        <w:rPr>
          <w:color w:val="auto"/>
        </w:rPr>
      </w:pPr>
      <w:r w:rsidRPr="006B3EAF">
        <w:rPr>
          <w:color w:val="auto"/>
        </w:rPr>
        <w:t xml:space="preserve">Az ERFA-típusú beavatkozásokat ESZA+ beavatkozások egészítik ki, a megyékben a megyei ESZA+ 30%-ával (3. prioritás humánfejlesztési programok), valamint Budapesten az 5. prioritás szerint. </w:t>
      </w:r>
    </w:p>
    <w:p w14:paraId="159BD9B8" w14:textId="77777777" w:rsidR="00E31BA1" w:rsidRPr="006B3EAF" w:rsidRDefault="00E31BA1" w:rsidP="00E31BA1">
      <w:pPr>
        <w:pStyle w:val="Default"/>
        <w:ind w:left="1276"/>
        <w:jc w:val="both"/>
        <w:rPr>
          <w:color w:val="auto"/>
          <w:sz w:val="18"/>
          <w:szCs w:val="18"/>
        </w:rPr>
      </w:pPr>
    </w:p>
    <w:p w14:paraId="16FC1D0C" w14:textId="77777777" w:rsidR="00E31BA1" w:rsidRPr="006B3EAF" w:rsidRDefault="00E31BA1" w:rsidP="00605D53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 xml:space="preserve">A 4 és 5 számjegyű, állami tulajdonban lévő közutak fejlesztésére, a köznevelési infrastruktúra fejlesztésére, az egészségügyi és szociális infrastruktúra fejlesztésére szánt források esetében további %-os korlátok kerültek előírásra. </w:t>
      </w:r>
    </w:p>
    <w:p w14:paraId="60F3077C" w14:textId="031E64F4" w:rsidR="00E31BA1" w:rsidRPr="006B3EAF" w:rsidRDefault="00E31BA1" w:rsidP="00605D53">
      <w:pPr>
        <w:pStyle w:val="Listaszerbekezds"/>
        <w:numPr>
          <w:ilvl w:val="0"/>
          <w:numId w:val="2"/>
        </w:numPr>
        <w:spacing w:after="160" w:line="240" w:lineRule="auto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Program szinten a 4 és 5 számjegyű, állami tulajdonban lévő közutak fejlesztésére fordított forráskeret nem haladhatja meg a 15%-os forrás allokációt az 1. és 6. prioritás összegéhez viszonyítva a 290/2014. (XI.6.) Korm. rendelet szerinti kedvezményezett járások területén. Hajdú-Bihar </w:t>
      </w:r>
      <w:r w:rsidR="00AE3CB2">
        <w:rPr>
          <w:rFonts w:ascii="Times New Roman" w:hAnsi="Times New Roman"/>
          <w:sz w:val="24"/>
          <w:szCs w:val="24"/>
        </w:rPr>
        <w:t>v</w:t>
      </w:r>
      <w:r w:rsidRPr="006B3EAF">
        <w:rPr>
          <w:rFonts w:ascii="Times New Roman" w:hAnsi="Times New Roman"/>
          <w:sz w:val="24"/>
          <w:szCs w:val="24"/>
        </w:rPr>
        <w:t>ármegye egyeztetéseket folytatott a Magyar Közút Nonprofit Zrt. Hajdú-Bihar Vármegyei Igazgatóságával. A Miniszterelnökség kérésére a Magyar Közút Nonprofit Zrt. felülvizsgálta a korábbi 2 nyertes projektjének szakmai- műszaki tartalmát, hogy megfeleljen a fent hivatkozott feltételeknek; ugyanezek a folyamatok a többi vármegyében is lezajlottak. Jelenleg országosan a 4 és 5 számjegyű, állami tulajdonban lévő közutak hatályos Támogatási Szerződéseitől való elállás van folyamatban és az év első felében várható, hogy a módosított műszaki – szakmai tartalomnak megfelelően benyújtásra kerülnek a támogatási kérelmek.</w:t>
      </w:r>
    </w:p>
    <w:p w14:paraId="66730DBD" w14:textId="69B4682D" w:rsidR="00E31BA1" w:rsidRPr="006B3EAF" w:rsidRDefault="00E31BA1" w:rsidP="00605D53">
      <w:pPr>
        <w:pStyle w:val="Listaszerbekezds"/>
        <w:numPr>
          <w:ilvl w:val="0"/>
          <w:numId w:val="2"/>
        </w:numPr>
        <w:spacing w:after="160" w:line="240" w:lineRule="auto"/>
        <w:ind w:left="107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2022. tavaszán megtörtént az ESZA+ - ERFA források közötti átcsoportosítás. A köznevelési infrastruktúra fejlesztésre akkor a vármegyei keret 80%-át kellett a kiemelt kedvezményezett, vagyis a Tankerületi Központ számára allokálni. A Miniszterelnökség jelenlegi iránymutatása alapján a %-os korlát mértékét min. 90%-ra szükséges emelni. Nem állami fenntartóként az egyházak vagy nemzetiségi önkormányz</w:t>
      </w:r>
      <w:r w:rsidR="001731E7">
        <w:rPr>
          <w:rFonts w:ascii="Times New Roman" w:hAnsi="Times New Roman"/>
          <w:sz w:val="24"/>
          <w:szCs w:val="24"/>
        </w:rPr>
        <w:t>a</w:t>
      </w:r>
      <w:r w:rsidRPr="006B3EAF">
        <w:rPr>
          <w:rFonts w:ascii="Times New Roman" w:hAnsi="Times New Roman"/>
          <w:sz w:val="24"/>
          <w:szCs w:val="24"/>
        </w:rPr>
        <w:t>tok lesznek jogosultak támogatási kérelmek benyújtására, míg települési önkormányzatok, mint tulajdonosok továbbra sem pályázhatnak, illetve magán oktatási intézmények sem támogathatóak. Az EMMI szakpolitikai kérése szerint a pedagógiai szakszolgálatok fejlesztését intézményi szinten szükséges kezelni, ezért a pedagógiai szakszolgálatok megyei telephelyeinek fejlesztését az FVS soron szükséges tervezni. Továbbá program szinten a 36 komplex programmal fejlesztendő járás területén az alap- és középfokú köznevelési intézmények fejlesztésére tervezett TOP_Plusz keretösszeg 15%-át szükséges fordítani.</w:t>
      </w:r>
    </w:p>
    <w:p w14:paraId="66E308DD" w14:textId="77777777" w:rsidR="00E31BA1" w:rsidRPr="006B3EAF" w:rsidRDefault="00E31BA1" w:rsidP="00605D53">
      <w:pPr>
        <w:pStyle w:val="Listaszerbekezds"/>
        <w:numPr>
          <w:ilvl w:val="0"/>
          <w:numId w:val="2"/>
        </w:numPr>
        <w:spacing w:after="160" w:line="240" w:lineRule="auto"/>
        <w:ind w:left="107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Program szinten a 36 komplex programmal fejlesztendő járás területén a helyi egészségügyi és szociális infrastruktúra fejlesztésére tervezett TOP_Plusz keretösszeg 15%-át szükséges fordítani.</w:t>
      </w:r>
    </w:p>
    <w:p w14:paraId="2ED7F422" w14:textId="77777777" w:rsidR="00E31BA1" w:rsidRPr="006B3EAF" w:rsidRDefault="00E31BA1" w:rsidP="00605D53">
      <w:pPr>
        <w:pStyle w:val="Listaszerbekezds"/>
        <w:spacing w:after="160" w:line="240" w:lineRule="auto"/>
        <w:ind w:left="107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BD7AC5" w14:textId="77777777" w:rsidR="00E31BA1" w:rsidRPr="006B3EAF" w:rsidRDefault="00E31BA1" w:rsidP="00605D53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Szociális célú városrehabilitációs fejlesztés (ERFA) esetén nem megengedhető a szegregátumok fenntartása, ebből kifolyólag valamennyi érintett projektben kötelezővé válik a deszegregáció a fejlesztéssel érintett család(ok) településen belüli integrált területre költöztetésével.</w:t>
      </w:r>
    </w:p>
    <w:p w14:paraId="591B96CE" w14:textId="550C2EE1" w:rsidR="00E31BA1" w:rsidRPr="006B3EAF" w:rsidRDefault="00E31BA1" w:rsidP="00605D53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EAF">
        <w:rPr>
          <w:rFonts w:ascii="Times New Roman" w:hAnsi="Times New Roman" w:cs="Times New Roman"/>
          <w:sz w:val="24"/>
          <w:szCs w:val="24"/>
        </w:rPr>
        <w:t>Az Európai Bizottság által elfogadott Terület- és Településfejlesztési Operatív Program Plusz – TOP_Plusz 2021-2027 tartalmazza a Helyi humán fejlesztésekhez kapcsolódó elvárásokat, mely</w:t>
      </w:r>
      <w:r w:rsidR="00DF0D4B">
        <w:rPr>
          <w:rFonts w:ascii="Times New Roman" w:hAnsi="Times New Roman" w:cs="Times New Roman"/>
          <w:sz w:val="24"/>
          <w:szCs w:val="24"/>
        </w:rPr>
        <w:t>ek</w:t>
      </w:r>
      <w:r w:rsidRPr="006B3EAF">
        <w:rPr>
          <w:rFonts w:ascii="Times New Roman" w:hAnsi="Times New Roman" w:cs="Times New Roman"/>
          <w:sz w:val="24"/>
          <w:szCs w:val="24"/>
        </w:rPr>
        <w:t xml:space="preserve"> részben eltér</w:t>
      </w:r>
      <w:r w:rsidR="00DF0D4B">
        <w:rPr>
          <w:rFonts w:ascii="Times New Roman" w:hAnsi="Times New Roman" w:cs="Times New Roman"/>
          <w:sz w:val="24"/>
          <w:szCs w:val="24"/>
        </w:rPr>
        <w:t>nek</w:t>
      </w:r>
      <w:r w:rsidRPr="006B3EAF">
        <w:rPr>
          <w:rFonts w:ascii="Times New Roman" w:hAnsi="Times New Roman" w:cs="Times New Roman"/>
          <w:sz w:val="24"/>
          <w:szCs w:val="24"/>
        </w:rPr>
        <w:t xml:space="preserve"> a korábban meghatározottaktól. </w:t>
      </w:r>
    </w:p>
    <w:p w14:paraId="1275425E" w14:textId="77777777" w:rsidR="00E31BA1" w:rsidRPr="006B3EAF" w:rsidRDefault="00E31BA1" w:rsidP="00D06F8E">
      <w:pPr>
        <w:pStyle w:val="Listaszerbekezds"/>
        <w:numPr>
          <w:ilvl w:val="0"/>
          <w:numId w:val="9"/>
        </w:numPr>
        <w:spacing w:after="160" w:line="240" w:lineRule="auto"/>
        <w:ind w:left="109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lastRenderedPageBreak/>
        <w:t xml:space="preserve">A beavatkozások a helyi humán, közösségi tevékenységeket támogatják, a helyi társadalmi szükségletekre reagálnak a hátrányos helyzetű célcsoportokat célozva. A hátrányos helyzetű csoportok a Megyei Esélyteremtő Paktumban megjelölt, az egyenlő bánásmódról és az esélyegyenlőség előmozdításáról szóló 2003. évi CXXV. törvényben nevesített csoportok, kiemelten a nők, a mélyszegénységben élők, romák, a fogyatékkal élő személyek, valamint a gyermekek és idősek csoportja. </w:t>
      </w:r>
    </w:p>
    <w:p w14:paraId="377FC858" w14:textId="77777777" w:rsidR="00E31BA1" w:rsidRPr="006B3EAF" w:rsidRDefault="00E31BA1" w:rsidP="00D06F8E">
      <w:pPr>
        <w:pStyle w:val="Listaszerbekezds"/>
        <w:numPr>
          <w:ilvl w:val="0"/>
          <w:numId w:val="9"/>
        </w:numPr>
        <w:spacing w:after="160" w:line="240" w:lineRule="auto"/>
        <w:ind w:left="109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A beavatkozások az EFOP keretében részben már elkészült Megyei Esélyteremtő Paktumok köré szervezve valósulnak meg, illeszkednek a vármegyei Szolgáltatási Út Térkép javaslataihoz. Ebből kifolyólag szükséges az említett dokumentumok felülvizsgálata. A hátrányos helyzetű csoportok helyzetének javítását a vármegyei identitásuk további erősítése révén is el kívánjuk érni. </w:t>
      </w:r>
    </w:p>
    <w:p w14:paraId="3C35BAA6" w14:textId="3A699C76" w:rsidR="00E31BA1" w:rsidRPr="006B3EAF" w:rsidRDefault="00E31BA1" w:rsidP="00CE109E">
      <w:pPr>
        <w:pStyle w:val="Default"/>
        <w:ind w:left="708"/>
        <w:jc w:val="both"/>
        <w:rPr>
          <w:color w:val="auto"/>
        </w:rPr>
      </w:pPr>
      <w:r w:rsidRPr="006B3EAF">
        <w:rPr>
          <w:color w:val="auto"/>
        </w:rPr>
        <w:t xml:space="preserve">Az Operatív Programban szereplő beavatkozásoknak szükséges illeszkednie a Megyei Esélyteremtő Paktumokhoz: </w:t>
      </w:r>
    </w:p>
    <w:p w14:paraId="7446549C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Helyi Esélyegyenlőségi Programok céljainak elérését segítő programok megvalósítása; </w:t>
      </w:r>
    </w:p>
    <w:p w14:paraId="4928CA80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Korai gyermekgondozási szolgáltatásokhoz, minőségi oktatáshoz, egészségügyi és szociális szolgáltatásokhoz való hozzáférés javítását célzó programok; </w:t>
      </w:r>
    </w:p>
    <w:p w14:paraId="3CED64A5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Szociális alapszolgáltatásokhoz és gyermekjóléti alapellátásokhoz kapcsolódó programok; </w:t>
      </w:r>
    </w:p>
    <w:p w14:paraId="7A3AE71A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Egészségfejlesztés és egészségügyi prevenciós programok, pl.: tematizált egészségfejlesztő és egészségtudatosságot erősítő programok (szűrővizsgálatokon való részvételre ösztönzés, mentális egészségfejlesztés, betegségmegelőzés); </w:t>
      </w:r>
    </w:p>
    <w:p w14:paraId="40C0D67E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Helyben elérhető egészségügyi szolgáltatások, programok (egészségnevelési programok, balesetmegelőzés, elsősegélynyújtás képzés, szülésre felkészítő tanácsadás, gyógypedagógia gyermekeknek stb.); </w:t>
      </w:r>
    </w:p>
    <w:p w14:paraId="40F177F7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Szolgáltatások elérhetőségének javítása (pl.: mobil szolgáltatások lehetőségének megteremtése, szűrőbusz, asszisztensi kapacitások fejlesztése, jogsegélyszolgálat, közlekedési szolgáltatások helyi igényekhez igazodó kiterjesztése); </w:t>
      </w:r>
    </w:p>
    <w:p w14:paraId="0A94108E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Szemléletformáló tevékenységek megvalósítása. </w:t>
      </w:r>
    </w:p>
    <w:p w14:paraId="6D4BD88C" w14:textId="77777777" w:rsidR="00E31BA1" w:rsidRPr="006B3EAF" w:rsidRDefault="00E31BA1" w:rsidP="00E31BA1">
      <w:pPr>
        <w:pStyle w:val="Default"/>
        <w:numPr>
          <w:ilvl w:val="1"/>
          <w:numId w:val="6"/>
        </w:numPr>
        <w:ind w:left="1134"/>
        <w:jc w:val="both"/>
        <w:rPr>
          <w:color w:val="auto"/>
        </w:rPr>
      </w:pPr>
      <w:r w:rsidRPr="006B3EAF">
        <w:rPr>
          <w:color w:val="auto"/>
        </w:rPr>
        <w:t xml:space="preserve">Közösségi programok a hátrányos helyzetű csoportokat érintően a társadalmi befogadás, társadalmi kohézió és identitás, munkaerő-piaci kompetenciák, együttműködés erősítésére, főként a hátrányos helyzetű térségekben és településeken: </w:t>
      </w:r>
    </w:p>
    <w:p w14:paraId="11BF5F35" w14:textId="77777777" w:rsidR="00E31BA1" w:rsidRPr="006B3EAF" w:rsidRDefault="00E31BA1" w:rsidP="00E31BA1">
      <w:pPr>
        <w:pStyle w:val="Default"/>
        <w:numPr>
          <w:ilvl w:val="0"/>
          <w:numId w:val="7"/>
        </w:numPr>
        <w:ind w:left="1418" w:hanging="283"/>
        <w:jc w:val="both"/>
        <w:rPr>
          <w:color w:val="auto"/>
        </w:rPr>
      </w:pPr>
      <w:r w:rsidRPr="006B3EAF">
        <w:rPr>
          <w:color w:val="auto"/>
        </w:rPr>
        <w:t xml:space="preserve">Közösségi szerepvállalást támogató szolgáltatások és programok; </w:t>
      </w:r>
    </w:p>
    <w:p w14:paraId="75B440E7" w14:textId="77777777" w:rsidR="00E31BA1" w:rsidRPr="006B3EAF" w:rsidRDefault="00E31BA1" w:rsidP="00E31BA1">
      <w:pPr>
        <w:pStyle w:val="Default"/>
        <w:numPr>
          <w:ilvl w:val="0"/>
          <w:numId w:val="7"/>
        </w:numPr>
        <w:ind w:left="1418" w:hanging="283"/>
        <w:jc w:val="both"/>
        <w:rPr>
          <w:color w:val="auto"/>
        </w:rPr>
      </w:pPr>
      <w:r w:rsidRPr="006B3EAF">
        <w:rPr>
          <w:color w:val="auto"/>
        </w:rPr>
        <w:t xml:space="preserve">Helyi kulturális intézmények, kulturális és közösségi terek közösségfejlesztő, hátránycsökkentő és kompetenciafejlesztő tevékenységének, funkcióinak támogatása; fiatalokat célzó közösségfejlesztő és nem formális képzési, tanulási programok; </w:t>
      </w:r>
    </w:p>
    <w:p w14:paraId="1F2AD727" w14:textId="77777777" w:rsidR="00E31BA1" w:rsidRPr="006B3EAF" w:rsidRDefault="00E31BA1" w:rsidP="00E31BA1">
      <w:pPr>
        <w:pStyle w:val="Default"/>
        <w:numPr>
          <w:ilvl w:val="0"/>
          <w:numId w:val="7"/>
        </w:numPr>
        <w:ind w:left="1418" w:hanging="283"/>
        <w:jc w:val="both"/>
        <w:rPr>
          <w:color w:val="auto"/>
        </w:rPr>
      </w:pPr>
      <w:r w:rsidRPr="006B3EAF">
        <w:rPr>
          <w:color w:val="auto"/>
        </w:rPr>
        <w:t xml:space="preserve">Megyei, térségi, helyi identitást, közösségi együttműködést erősítő közösségfejlesztő programok a megyei közművelődési intézményekre is építve; </w:t>
      </w:r>
    </w:p>
    <w:p w14:paraId="498CC91C" w14:textId="7A5FDA64" w:rsidR="00E31BA1" w:rsidRDefault="00E31BA1" w:rsidP="004912A9">
      <w:pPr>
        <w:pStyle w:val="Default"/>
        <w:numPr>
          <w:ilvl w:val="0"/>
          <w:numId w:val="7"/>
        </w:numPr>
        <w:ind w:left="1418" w:hanging="283"/>
        <w:jc w:val="both"/>
        <w:rPr>
          <w:color w:val="auto"/>
        </w:rPr>
      </w:pPr>
      <w:r w:rsidRPr="006B3EAF">
        <w:rPr>
          <w:color w:val="auto"/>
        </w:rPr>
        <w:t xml:space="preserve">Térségfejlesztési együttműködések, szakmai kapacitások erősítésének támogatása, ideértve a kapcsolódó stratégiai tervezési tevékenységet is. </w:t>
      </w:r>
    </w:p>
    <w:p w14:paraId="4A4A3772" w14:textId="77777777" w:rsidR="004912A9" w:rsidRPr="004912A9" w:rsidRDefault="004912A9" w:rsidP="004912A9">
      <w:pPr>
        <w:pStyle w:val="Default"/>
        <w:ind w:left="1418"/>
        <w:jc w:val="both"/>
        <w:rPr>
          <w:color w:val="auto"/>
          <w:sz w:val="12"/>
          <w:szCs w:val="12"/>
        </w:rPr>
      </w:pPr>
    </w:p>
    <w:p w14:paraId="390C1E20" w14:textId="4CF9802D" w:rsidR="00E31BA1" w:rsidRPr="006B3EAF" w:rsidRDefault="00E31BA1" w:rsidP="004912A9">
      <w:pPr>
        <w:pStyle w:val="Listaszerbekezds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Az energetikai fejlesztések kapcsán a rendelkezésre álló forrást 2 részre szükséges bontani: egyrészt a már meghirdetett energetikai fejlesztésekre, melyek vissza nem térítendő támogatási formában valósulnak meg, másrészt az új, kombinált energetikai felhívásra, ahol a felhívás a vissza nem térítendő támogatás mellett tartalmaz visszatérítendő forrást is.</w:t>
      </w:r>
      <w:r w:rsidRPr="006B3EAF">
        <w:rPr>
          <w:rFonts w:ascii="Times New Roman" w:hAnsi="Times New Roman" w:cs="Times New Roman"/>
          <w:sz w:val="24"/>
          <w:szCs w:val="24"/>
        </w:rPr>
        <w:t xml:space="preserve"> 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A forrás ráemelés összegét a gyógyfürdők és fürdők energetikai fejlesztésére szükséges fordítani. </w:t>
      </w:r>
    </w:p>
    <w:p w14:paraId="20EC7B22" w14:textId="1106E6AB" w:rsidR="00E31BA1" w:rsidRPr="006B3EAF" w:rsidRDefault="00E31BA1" w:rsidP="001F6353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 xml:space="preserve">Módosultak a Fenntartható Városfejlesztési Stratégia esetén a városkijelölés elvei. Ahol az FVS területén van Natura 2000-es terület, ott a beavatkozásoknak hozzá kell járulniuk a biodiverzitás és e területek megtartásához. A TOP_Plusz Várostervezési Programtervnek tartalmaznia kell Natura 2000 területet támogató beavatkozást. Az FVS keretében történő fenntartható </w:t>
      </w:r>
      <w:r w:rsidRPr="006B3EAF">
        <w:rPr>
          <w:rFonts w:ascii="Times New Roman" w:hAnsi="Times New Roman" w:cs="Times New Roman"/>
          <w:bCs/>
          <w:sz w:val="24"/>
          <w:szCs w:val="24"/>
        </w:rPr>
        <w:lastRenderedPageBreak/>
        <w:t>közlekedésfejlesztési beavatkozások feltétele a Fenntartható Városi Mobilitási Terv-hez (továbbiakban: SUMP) való illeszkedés. Az FVS alá tartozó Debrecen Megyei Jogú Város munkatársaival több körben történtek egyeztetések az ITP rájuk vonatkozó, módosítandó része</w:t>
      </w:r>
      <w:r w:rsidR="007E3B5D">
        <w:rPr>
          <w:rFonts w:ascii="Times New Roman" w:hAnsi="Times New Roman" w:cs="Times New Roman"/>
          <w:bCs/>
          <w:sz w:val="24"/>
          <w:szCs w:val="24"/>
        </w:rPr>
        <w:t>i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tekintetében. </w:t>
      </w:r>
    </w:p>
    <w:p w14:paraId="2B3C8219" w14:textId="77777777" w:rsidR="00E31BA1" w:rsidRPr="006B3EAF" w:rsidRDefault="00E31BA1" w:rsidP="001F6353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Az elfogadott OP alapján bevezetésre került egy új, 6. sz. prioritás „Versenyképes vármegye” címmel. Ez egyben azt is jelenti, hogy a korábban az 1. prioritás 1.1 intézkedésén szereplő valamennyi felhívás a 6.1. intézkedésre, illetve a 1.3. intézkedés</w:t>
      </w:r>
      <w:r w:rsidRPr="006B3EAF">
        <w:rPr>
          <w:rFonts w:ascii="Times New Roman" w:hAnsi="Times New Roman" w:cs="Times New Roman"/>
          <w:sz w:val="24"/>
          <w:szCs w:val="24"/>
        </w:rPr>
        <w:t xml:space="preserve"> Helyi gazdaságfejlesztés, a 4-5 számjegyű utak fejlesztése és a Helyi és térségi turizmusfejlesztés tevékenységcsoportjai a 6.2-es intézkedésre került át.</w:t>
      </w:r>
    </w:p>
    <w:p w14:paraId="4B57BC24" w14:textId="77777777" w:rsidR="00E31BA1" w:rsidRPr="006B3EAF" w:rsidRDefault="00E31BA1" w:rsidP="001F6353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Továbbá új felhívások is bekerültek a TOP_Plusz-ba: 1.1.1. Klímatudatosság, éghajlatváltozáshoz való alkalmazkodás, 1.2.4. Szegregált városi területekről integrált területekre költözés támogatása (Pilot), 2.1.3. Önkormányzati épületek energetikai korszerűsítése (kombinált), 2.1.4. Fenntartható energiahatékonyság (kombinált), 6.2.1. Fenntartható versenyképes városfejlesztés címmel.</w:t>
      </w:r>
    </w:p>
    <w:p w14:paraId="7FD9A0B8" w14:textId="77777777" w:rsidR="00E31BA1" w:rsidRPr="006B3EAF" w:rsidRDefault="00E31BA1" w:rsidP="001F6353">
      <w:pPr>
        <w:spacing w:after="120"/>
        <w:ind w:left="374"/>
        <w:jc w:val="both"/>
      </w:pPr>
      <w:r w:rsidRPr="006B3EAF">
        <w:t>A TOP_Plusz-ban megjelenő új felhívások többségében tervezet szintjén állnak; a felhívásokról - az Európai Bizottság által elfogadott „Terület- és Településfejlesztési Operatív Program Plusz” c. dokumentumból, illetve a Miniszterelnökséggel folytatott egyeztetések során szerzett információkból- az alábbiak tudhatóak:</w:t>
      </w:r>
    </w:p>
    <w:p w14:paraId="5AF7A568" w14:textId="77777777" w:rsidR="00E31BA1" w:rsidRPr="006B3EAF" w:rsidRDefault="00E31BA1" w:rsidP="001F6353">
      <w:pPr>
        <w:pStyle w:val="Listaszerbekezds"/>
        <w:numPr>
          <w:ilvl w:val="0"/>
          <w:numId w:val="8"/>
        </w:numPr>
        <w:spacing w:after="160" w:line="240" w:lineRule="auto"/>
        <w:ind w:left="85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1.1.1. Klímatudatosság, éghajlatváltozáshoz való alkalmazkodás - a klíma stratégiák készítése  kapcsán a következő szükséges beavatkozások tervezhetőek: Vármegyei / települési klíma stratégiai készítése, Klímasemleges akcióterv kidolgozása, Felmérések, vizsgálatok készítése (pl.: hőségriadó tervek, épületállomány sérülékenysége), Karbonleltár készítése (SEAP/SECAP hiányában), Tudásbázis kialakítása (energetikai fejlesztések eredményei), adatbázis képzés, Környezeti monitoring rendszer működtetése, Zöld átállás támogatása, vármegyei zöld finanszírozási keretrendszer kidolgozása, szemléletformáló akciók, települések számára képzések a körforgásos gazdaságra, a hulladékképződés csökkentésére, hulladékhasznosításra, közlekedésre, konzultációk, workshop-ok, mentorálás, digitalizáció adta lehetőségek kihasználása. A Miniszterelnökség tájékoztatása alapján erről a felhívásról kiemelt eljárásrendben születik döntés és a felhívás kedvezményezettjei a vármegyei önkormányzatok. Jelenleg Hajdú-Bihar Vármegye Önkormányzata ITP költségvetésébe 100 millió Ft került tervezésre az adott felhíváshoz, ami nem éri el a Miniszterelnökség által elvárt értéket. Amennyiben az ITP módosítás 2. ütemében az árfolyam növekmény lehetővé teszi, a felhíváshoz tervezett összeg felülvizsgálata megtörténhet.</w:t>
      </w:r>
    </w:p>
    <w:p w14:paraId="69917CA4" w14:textId="77777777" w:rsidR="00E31BA1" w:rsidRPr="006B3EAF" w:rsidRDefault="00E31BA1" w:rsidP="001F6353">
      <w:pPr>
        <w:pStyle w:val="Listaszerbekezds"/>
        <w:numPr>
          <w:ilvl w:val="0"/>
          <w:numId w:val="8"/>
        </w:numPr>
        <w:spacing w:after="160" w:line="240" w:lineRule="auto"/>
        <w:ind w:left="85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1.2.4. Szegregált városi területekről integrált területekre költözés támogatása (Pilot projekt) – a felhívás a deszegregáció érdekében az integrált területen lévő bérlakások felújítására irányul. Jelenleg erre a felhívásra 0 Ft összeget terveztünk – tekintettel arra, hogy nem áll rendelkezésre szabad forrás. Amennyiben az ITP módosítás 2. ütemében az árfolyam növekmény lehetővé teszi, a felhíváshoz tervezett összeg felülvizsgálata megtörténhet. </w:t>
      </w:r>
    </w:p>
    <w:p w14:paraId="0D679512" w14:textId="77777777" w:rsidR="00E31BA1" w:rsidRPr="006B3EAF" w:rsidRDefault="00E31BA1" w:rsidP="001F6353">
      <w:pPr>
        <w:pStyle w:val="Listaszerbekezds"/>
        <w:numPr>
          <w:ilvl w:val="0"/>
          <w:numId w:val="8"/>
        </w:numPr>
        <w:spacing w:after="160" w:line="240" w:lineRule="auto"/>
        <w:ind w:left="85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2.1.3. Önkormányzati épületek energetikai korszerűsítése (kombinált) - az új, kombinált energetikai felhívás vissza nem térítendő támogatás (továbbiakban: VNT) mellett tartalmaz visszatérítendő forrást is. Vissza nem térítendő támogatás a 290/2014. (XI.26.) Korm. rendelet szerinti kedvezményezett járásokban, valamint az 5 000 fő alatti településeken megvalósuló fejlesztések esetében adható. Az ország többi területén kombinált (hitel + VNT) támogatás adható. A megújuló energiaforrásoknál a korlátozás a napelemes fejlesztésekre vonatkozik, az egyéb támogatható megújuló beruházások tisztán VNT forrásból finanszírozhatóak. Jelenleg nem terveztünk kombinált hitelkonstrukcióban </w:t>
      </w:r>
      <w:r w:rsidRPr="006B3EAF">
        <w:rPr>
          <w:rFonts w:ascii="Times New Roman" w:hAnsi="Times New Roman"/>
          <w:sz w:val="24"/>
          <w:szCs w:val="24"/>
        </w:rPr>
        <w:lastRenderedPageBreak/>
        <w:t>megvalósuló támogatási kérelmekkel. (A korábban már nyertes támogatási kérelmek 100%-os támogatással valósulnak meg.)</w:t>
      </w:r>
    </w:p>
    <w:p w14:paraId="59CE7FD2" w14:textId="77777777" w:rsidR="00E31BA1" w:rsidRPr="006B3EAF" w:rsidRDefault="00E31BA1" w:rsidP="001F6353">
      <w:pPr>
        <w:pStyle w:val="Listaszerbekezds"/>
        <w:numPr>
          <w:ilvl w:val="0"/>
          <w:numId w:val="8"/>
        </w:numPr>
        <w:spacing w:after="160" w:line="240" w:lineRule="auto"/>
        <w:ind w:left="850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2.1.4. Fenntartható energiahatékonyság (kombinált) – a felhívásra ugyanazok a feltételek vonatkoznak az FVS területen, mint az előző pontban ismertetett Önkormányzati épületek energetikai korszerűsítése (kombinált) c. felhívás esetében. Debrecen Megyei Jogú Város nem tervez kombinált hitelkonstrukcióban megvalósuló támogatási kérelem beadását.</w:t>
      </w:r>
    </w:p>
    <w:p w14:paraId="620A828A" w14:textId="77777777" w:rsidR="00E31BA1" w:rsidRPr="006B3EAF" w:rsidRDefault="00E31BA1" w:rsidP="001F6353">
      <w:pPr>
        <w:pStyle w:val="Listaszerbekezds"/>
        <w:numPr>
          <w:ilvl w:val="0"/>
          <w:numId w:val="8"/>
        </w:numPr>
        <w:spacing w:after="160" w:line="240" w:lineRule="auto"/>
        <w:ind w:left="850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6.2.1. Fenntartható versenyképes városfejlesztés – Ez az új felhívás tartalmazza a Helyi gazdaságfejlesztés, a 4-5 számjegyű utak fejlesztése és a Helyi és térségi turizmusfejlesztés felhívások azon tevékenységcsoportjait, amelyek az FVS területen tervezhető fejlesztések körét adják.</w:t>
      </w:r>
    </w:p>
    <w:p w14:paraId="483ECD83" w14:textId="77777777" w:rsidR="00E31BA1" w:rsidRPr="006B3EAF" w:rsidRDefault="00E31BA1" w:rsidP="00E31BA1">
      <w:pPr>
        <w:pStyle w:val="Listaszerbekezds"/>
        <w:spacing w:after="160" w:line="259" w:lineRule="auto"/>
        <w:ind w:left="1080"/>
        <w:contextualSpacing/>
        <w:jc w:val="both"/>
        <w:rPr>
          <w:rFonts w:ascii="Times New Roman" w:hAnsi="Times New Roman"/>
          <w:i/>
          <w:sz w:val="12"/>
          <w:szCs w:val="12"/>
        </w:rPr>
      </w:pPr>
    </w:p>
    <w:p w14:paraId="2C5EEB37" w14:textId="77777777" w:rsidR="00E31BA1" w:rsidRPr="006B3EAF" w:rsidRDefault="00E31BA1" w:rsidP="00E31BA1">
      <w:pPr>
        <w:pStyle w:val="Listaszerbekezds"/>
        <w:numPr>
          <w:ilvl w:val="0"/>
          <w:numId w:val="1"/>
        </w:numPr>
        <w:spacing w:after="120" w:line="240" w:lineRule="auto"/>
        <w:ind w:left="731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 Forrásallokáció módosítása</w:t>
      </w:r>
    </w:p>
    <w:p w14:paraId="5072618A" w14:textId="77777777" w:rsidR="00E31BA1" w:rsidRPr="006B3EAF" w:rsidRDefault="00E31BA1" w:rsidP="00E31BA1">
      <w:pPr>
        <w:spacing w:after="120" w:line="259" w:lineRule="auto"/>
        <w:ind w:left="425"/>
        <w:jc w:val="both"/>
      </w:pPr>
      <w:r w:rsidRPr="006B3EAF">
        <w:t>2021- 2022. évben az alábbi felhívások esetében történt meg a támogatási kérelmek benyújtása, illetve a benyújtott támogatási kérelmekkel kapcsolatban a DEB döntés:</w:t>
      </w:r>
    </w:p>
    <w:p w14:paraId="4F14CCB0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Helyi gazdaságfejlesztés, </w:t>
      </w:r>
    </w:p>
    <w:p w14:paraId="6BFD68CE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4-5 számjegyű utak fejlesztése,</w:t>
      </w:r>
    </w:p>
    <w:p w14:paraId="73AAA41D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Helyi és térségi turizmusfejlesztés, </w:t>
      </w:r>
    </w:p>
    <w:p w14:paraId="7466E158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Élhető települések, </w:t>
      </w:r>
    </w:p>
    <w:p w14:paraId="29DFF411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Szociális célú városrehabilitáció (ERFA), </w:t>
      </w:r>
    </w:p>
    <w:p w14:paraId="0FA2F6D6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Belterületi utak fejlesztése, </w:t>
      </w:r>
    </w:p>
    <w:p w14:paraId="79E42E3B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Fenntartható városi stratégiák támogatása, </w:t>
      </w:r>
    </w:p>
    <w:p w14:paraId="41CE7A01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Önkormányzati épületek energetikai korszerűsítése, </w:t>
      </w:r>
    </w:p>
    <w:p w14:paraId="292B59D9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Megyei foglalkoztatási- gazdaságfejlesztési együttműködések, </w:t>
      </w:r>
    </w:p>
    <w:p w14:paraId="7F22995E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Szociális célú városrehabilitáció (ESZA+), </w:t>
      </w:r>
    </w:p>
    <w:p w14:paraId="6D62AC8C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 xml:space="preserve">Gyermeknevelést támogató humán infrastruktúra fejlesztése, </w:t>
      </w:r>
    </w:p>
    <w:p w14:paraId="7D826B5F" w14:textId="77777777" w:rsidR="00E31BA1" w:rsidRPr="006B3EAF" w:rsidRDefault="00E31BA1" w:rsidP="00E31BA1">
      <w:pPr>
        <w:pStyle w:val="Listaszerbekezds"/>
        <w:numPr>
          <w:ilvl w:val="0"/>
          <w:numId w:val="5"/>
        </w:numPr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6B3EAF">
        <w:rPr>
          <w:rFonts w:ascii="Times New Roman" w:hAnsi="Times New Roman"/>
          <w:sz w:val="24"/>
          <w:szCs w:val="24"/>
        </w:rPr>
        <w:t>Helyi egészségügyi és szociális infrastruktúra fejlesztése.</w:t>
      </w:r>
    </w:p>
    <w:p w14:paraId="0F5E06BD" w14:textId="77777777" w:rsidR="00E31BA1" w:rsidRPr="006B3EAF" w:rsidRDefault="00E31BA1" w:rsidP="00E31BA1">
      <w:pPr>
        <w:pStyle w:val="Listaszerbekezds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25353171" w14:textId="77777777" w:rsidR="00E31BA1" w:rsidRPr="006B3EAF" w:rsidRDefault="00E31BA1" w:rsidP="00675082">
      <w:pPr>
        <w:spacing w:after="120"/>
        <w:ind w:left="284"/>
        <w:jc w:val="both"/>
      </w:pPr>
      <w:r w:rsidRPr="006B3EAF">
        <w:t>A fenti felhívásokra benyújtott támogatási kérelmek összegei, illetve vármegyei területi megoszlása eltért a tervezettektől, így éltünk prioritásokon belül a felhívások közötti, valamint a forrásfelhasználási módok, célterületek közötti átcsoportosítás lehetőségével. Ezáltal lehetővé vált, hogy a benyújtott támogatási kérelmek minél nagyobb mértékben kerülhessenek támogatásra. Továbbá az ITP módosításával a TOP_Plusz-ban új felhívások forrásoldali betervezése is szükségessé vált.</w:t>
      </w:r>
    </w:p>
    <w:p w14:paraId="04B6790C" w14:textId="77777777" w:rsidR="00E31BA1" w:rsidRPr="006B3EAF" w:rsidRDefault="00E31BA1" w:rsidP="001F6353">
      <w:pPr>
        <w:pStyle w:val="Listaszerbekezds"/>
        <w:spacing w:afterLines="120" w:after="288" w:line="240" w:lineRule="auto"/>
        <w:ind w:left="0"/>
        <w:jc w:val="both"/>
        <w:rPr>
          <w:rFonts w:ascii="Times New Roman" w:hAnsi="Times New Roman"/>
        </w:rPr>
      </w:pPr>
    </w:p>
    <w:p w14:paraId="674E6F4A" w14:textId="77777777" w:rsidR="00E31BA1" w:rsidRPr="006B3EAF" w:rsidRDefault="00E31BA1" w:rsidP="001F6353">
      <w:pPr>
        <w:pStyle w:val="Listaszerbekezds"/>
        <w:spacing w:afterLines="120" w:after="288" w:line="240" w:lineRule="auto"/>
        <w:ind w:left="0"/>
        <w:jc w:val="both"/>
        <w:rPr>
          <w:rFonts w:ascii="Times New Roman" w:hAnsi="Times New Roman"/>
          <w:b/>
          <w:bCs/>
        </w:rPr>
        <w:sectPr w:rsidR="00E31BA1" w:rsidRPr="006B3EAF" w:rsidSect="00D90C3B">
          <w:headerReference w:type="default" r:id="rId9"/>
          <w:footerReference w:type="default" r:id="rId10"/>
          <w:pgSz w:w="11906" w:h="16838"/>
          <w:pgMar w:top="1134" w:right="1274" w:bottom="1418" w:left="1134" w:header="709" w:footer="709" w:gutter="0"/>
          <w:cols w:space="708"/>
          <w:titlePg/>
          <w:docGrid w:linePitch="360"/>
        </w:sectPr>
      </w:pPr>
    </w:p>
    <w:p w14:paraId="471050FC" w14:textId="77777777" w:rsidR="00E31BA1" w:rsidRPr="006B3EAF" w:rsidRDefault="00E31BA1" w:rsidP="00E31BA1">
      <w:pPr>
        <w:spacing w:after="160" w:line="259" w:lineRule="auto"/>
        <w:ind w:left="426"/>
        <w:jc w:val="both"/>
      </w:pPr>
      <w:r w:rsidRPr="006B3EAF">
        <w:lastRenderedPageBreak/>
        <w:t>Hajdú-Bihar vármegye TOP_Plusz forrás allokációja az intézkedések és felhívások közötti átcsoportosításokkal, illetve az új felhívások tervezésével az alábbiak szerint alakult:</w:t>
      </w:r>
    </w:p>
    <w:tbl>
      <w:tblPr>
        <w:tblStyle w:val="Rcsostblzat"/>
        <w:tblW w:w="12582" w:type="dxa"/>
        <w:jc w:val="center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4365"/>
      </w:tblGrid>
      <w:tr w:rsidR="006B3EAF" w:rsidRPr="006B3EAF" w14:paraId="2898C5B7" w14:textId="77777777" w:rsidTr="000E0218">
        <w:trPr>
          <w:trHeight w:val="699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7FFAAFD" w14:textId="77777777" w:rsidR="00E31BA1" w:rsidRPr="006B3EAF" w:rsidRDefault="00E31BA1" w:rsidP="006D3447">
            <w:pPr>
              <w:pStyle w:val="Listaszerbekezds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3EAF">
              <w:rPr>
                <w:rFonts w:ascii="Times New Roman" w:hAnsi="Times New Roman" w:cs="Times New Roman"/>
                <w:b/>
                <w:bCs/>
              </w:rPr>
              <w:t>Felhívás megnevezése: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4F84C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Az Előzetes ITP 1. számú módosítása szerinti összeg (Ft):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58A1B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A módosított, végleges ITP szerinti összeg (Ft):</w:t>
            </w:r>
          </w:p>
        </w:tc>
        <w:tc>
          <w:tcPr>
            <w:tcW w:w="4365" w:type="dxa"/>
            <w:shd w:val="clear" w:color="auto" w:fill="D9D9D9" w:themeFill="background1" w:themeFillShade="D9"/>
            <w:vAlign w:val="center"/>
          </w:tcPr>
          <w:p w14:paraId="70AFF00B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Átcsoportosítás jellege:</w:t>
            </w:r>
          </w:p>
        </w:tc>
      </w:tr>
      <w:tr w:rsidR="006B3EAF" w:rsidRPr="006B3EAF" w14:paraId="08910E2D" w14:textId="77777777" w:rsidTr="000E0218">
        <w:trPr>
          <w:trHeight w:val="633"/>
          <w:jc w:val="center"/>
        </w:trPr>
        <w:tc>
          <w:tcPr>
            <w:tcW w:w="3681" w:type="dxa"/>
            <w:vAlign w:val="center"/>
          </w:tcPr>
          <w:p w14:paraId="07E5D0BB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1.1.1 Klímatudatosság, éghajlatváltozáshoz való alkalmazkodás</w:t>
            </w:r>
          </w:p>
        </w:tc>
        <w:tc>
          <w:tcPr>
            <w:tcW w:w="2268" w:type="dxa"/>
            <w:vAlign w:val="center"/>
          </w:tcPr>
          <w:p w14:paraId="168541D8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113BBFE2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100 000 000</w:t>
            </w:r>
          </w:p>
        </w:tc>
        <w:tc>
          <w:tcPr>
            <w:tcW w:w="4365" w:type="dxa"/>
            <w:vAlign w:val="center"/>
          </w:tcPr>
          <w:p w14:paraId="3C3CEE5C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Felhívások közötti átcsoportosítás (TOP_Plusz-6.1.2.).</w:t>
            </w:r>
          </w:p>
        </w:tc>
      </w:tr>
      <w:tr w:rsidR="006B3EAF" w:rsidRPr="006B3EAF" w14:paraId="2DA8DDF5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3FD98427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3EAF">
              <w:rPr>
                <w:rFonts w:ascii="Times New Roman" w:hAnsi="Times New Roman" w:cs="Times New Roman"/>
                <w:b/>
                <w:bCs/>
              </w:rPr>
              <w:t>1.2.1. Élhető települések</w:t>
            </w:r>
          </w:p>
        </w:tc>
        <w:tc>
          <w:tcPr>
            <w:tcW w:w="2268" w:type="dxa"/>
            <w:vAlign w:val="center"/>
          </w:tcPr>
          <w:p w14:paraId="16AFA1AA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20 240 878 064</w:t>
            </w:r>
          </w:p>
        </w:tc>
        <w:tc>
          <w:tcPr>
            <w:tcW w:w="2268" w:type="dxa"/>
            <w:vAlign w:val="center"/>
          </w:tcPr>
          <w:p w14:paraId="6AD9B3E6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20 981 331 364</w:t>
            </w:r>
          </w:p>
        </w:tc>
        <w:tc>
          <w:tcPr>
            <w:tcW w:w="4365" w:type="dxa"/>
            <w:vMerge w:val="restart"/>
            <w:vAlign w:val="center"/>
          </w:tcPr>
          <w:p w14:paraId="3CD760C9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Felhíváson belüli és felhívások közötti átcsoportosítás (TOP_Plusz-6.1.2.).</w:t>
            </w:r>
          </w:p>
        </w:tc>
      </w:tr>
      <w:tr w:rsidR="006B3EAF" w:rsidRPr="006B3EAF" w14:paraId="1EA00E51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4257B8CD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Ebből Zöld infrastruktúra fejlesztése</w:t>
            </w:r>
          </w:p>
        </w:tc>
        <w:tc>
          <w:tcPr>
            <w:tcW w:w="2268" w:type="dxa"/>
            <w:vAlign w:val="center"/>
          </w:tcPr>
          <w:p w14:paraId="3A595E2D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5 793 438 323</w:t>
            </w:r>
          </w:p>
        </w:tc>
        <w:tc>
          <w:tcPr>
            <w:tcW w:w="2268" w:type="dxa"/>
            <w:vAlign w:val="center"/>
          </w:tcPr>
          <w:p w14:paraId="117EA5B0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2 885 127 162</w:t>
            </w:r>
          </w:p>
        </w:tc>
        <w:tc>
          <w:tcPr>
            <w:tcW w:w="4365" w:type="dxa"/>
            <w:vMerge/>
            <w:vAlign w:val="center"/>
          </w:tcPr>
          <w:p w14:paraId="42A71366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4D00B57D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7D52003B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Csapadékvíz</w:t>
            </w:r>
          </w:p>
        </w:tc>
        <w:tc>
          <w:tcPr>
            <w:tcW w:w="2268" w:type="dxa"/>
            <w:vAlign w:val="center"/>
          </w:tcPr>
          <w:p w14:paraId="4DDFCA3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4 430 000 000</w:t>
            </w:r>
          </w:p>
        </w:tc>
        <w:tc>
          <w:tcPr>
            <w:tcW w:w="2268" w:type="dxa"/>
            <w:vAlign w:val="center"/>
          </w:tcPr>
          <w:p w14:paraId="1D5DD10A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4 898 963 005</w:t>
            </w:r>
          </w:p>
        </w:tc>
        <w:tc>
          <w:tcPr>
            <w:tcW w:w="4365" w:type="dxa"/>
            <w:vMerge/>
            <w:vAlign w:val="center"/>
          </w:tcPr>
          <w:p w14:paraId="3329286D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71793C20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2F3F58B9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Kerékpárút</w:t>
            </w:r>
          </w:p>
        </w:tc>
        <w:tc>
          <w:tcPr>
            <w:tcW w:w="2268" w:type="dxa"/>
            <w:vAlign w:val="center"/>
          </w:tcPr>
          <w:p w14:paraId="2C3B82A8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4 850 000 000</w:t>
            </w:r>
          </w:p>
        </w:tc>
        <w:tc>
          <w:tcPr>
            <w:tcW w:w="2268" w:type="dxa"/>
            <w:vAlign w:val="center"/>
          </w:tcPr>
          <w:p w14:paraId="02102B85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3 764 709 176</w:t>
            </w:r>
          </w:p>
        </w:tc>
        <w:tc>
          <w:tcPr>
            <w:tcW w:w="4365" w:type="dxa"/>
            <w:vMerge/>
            <w:vAlign w:val="center"/>
          </w:tcPr>
          <w:p w14:paraId="4162418B" w14:textId="77777777" w:rsidR="00E31BA1" w:rsidRPr="006B3EAF" w:rsidDel="007511C7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18D7740C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5304852B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1.2.2. Szociális célú városrehabilitáció (ERFA)</w:t>
            </w:r>
          </w:p>
        </w:tc>
        <w:tc>
          <w:tcPr>
            <w:tcW w:w="2268" w:type="dxa"/>
            <w:vAlign w:val="center"/>
          </w:tcPr>
          <w:p w14:paraId="6F75B20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488 000 000</w:t>
            </w:r>
          </w:p>
        </w:tc>
        <w:tc>
          <w:tcPr>
            <w:tcW w:w="2268" w:type="dxa"/>
            <w:vAlign w:val="center"/>
          </w:tcPr>
          <w:p w14:paraId="113C074C" w14:textId="77777777" w:rsidR="00E31BA1" w:rsidRPr="006B3EAF" w:rsidDel="007511C7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488 000 000</w:t>
            </w:r>
          </w:p>
        </w:tc>
        <w:tc>
          <w:tcPr>
            <w:tcW w:w="4365" w:type="dxa"/>
            <w:vAlign w:val="center"/>
          </w:tcPr>
          <w:p w14:paraId="46F0A42F" w14:textId="605E025D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Felhíváson belüli</w:t>
            </w:r>
            <w:r w:rsidR="000329B3">
              <w:rPr>
                <w:rFonts w:ascii="Times New Roman" w:hAnsi="Times New Roman" w:cs="Times New Roman"/>
              </w:rPr>
              <w:t xml:space="preserve"> (forrásfelhasználási módok közötti)</w:t>
            </w:r>
            <w:r w:rsidRPr="006B3EAF">
              <w:rPr>
                <w:rFonts w:ascii="Times New Roman" w:hAnsi="Times New Roman" w:cs="Times New Roman"/>
              </w:rPr>
              <w:t xml:space="preserve"> átcsoportosítás.</w:t>
            </w:r>
          </w:p>
        </w:tc>
      </w:tr>
      <w:tr w:rsidR="006B3EAF" w:rsidRPr="006B3EAF" w14:paraId="50B7C0DE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1C8BA317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1.2.3. Belterületi utak fejlesztése</w:t>
            </w:r>
          </w:p>
        </w:tc>
        <w:tc>
          <w:tcPr>
            <w:tcW w:w="2268" w:type="dxa"/>
            <w:vAlign w:val="center"/>
          </w:tcPr>
          <w:p w14:paraId="33FC5BB5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11 870 196 677</w:t>
            </w:r>
          </w:p>
        </w:tc>
        <w:tc>
          <w:tcPr>
            <w:tcW w:w="2268" w:type="dxa"/>
            <w:vAlign w:val="center"/>
          </w:tcPr>
          <w:p w14:paraId="73570AFD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12 163 148 024</w:t>
            </w:r>
          </w:p>
        </w:tc>
        <w:tc>
          <w:tcPr>
            <w:tcW w:w="4365" w:type="dxa"/>
            <w:vAlign w:val="center"/>
          </w:tcPr>
          <w:p w14:paraId="6D4D7CC0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Felhíváson belüli és felhívások közötti átcsoportosítás (TOP_Plusz-6.1.1., TOP_Plusz-6.1.2).</w:t>
            </w:r>
          </w:p>
        </w:tc>
      </w:tr>
      <w:tr w:rsidR="006B3EAF" w:rsidRPr="006B3EAF" w14:paraId="491DC499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346EECE0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1.2.4. A Szegregált városi területekről integrált területekre költözés támogatása</w:t>
            </w:r>
          </w:p>
        </w:tc>
        <w:tc>
          <w:tcPr>
            <w:tcW w:w="2268" w:type="dxa"/>
            <w:vAlign w:val="center"/>
          </w:tcPr>
          <w:p w14:paraId="1E821A41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0035F108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0</w:t>
            </w:r>
          </w:p>
        </w:tc>
        <w:tc>
          <w:tcPr>
            <w:tcW w:w="4365" w:type="dxa"/>
            <w:vAlign w:val="center"/>
          </w:tcPr>
          <w:p w14:paraId="306C62F9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3BF511D6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160BF727" w14:textId="77777777" w:rsidR="00E31BA1" w:rsidRPr="006B3EAF" w:rsidRDefault="00E31BA1" w:rsidP="006D3447">
            <w:pPr>
              <w:jc w:val="both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1.3.1.Fenntartható városfejlesztési stratégiák támogatása</w:t>
            </w:r>
          </w:p>
        </w:tc>
        <w:tc>
          <w:tcPr>
            <w:tcW w:w="2268" w:type="dxa"/>
            <w:vAlign w:val="center"/>
          </w:tcPr>
          <w:p w14:paraId="64155747" w14:textId="77777777" w:rsidR="00E31BA1" w:rsidRPr="006B3EAF" w:rsidRDefault="00E31BA1" w:rsidP="000E021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105 000 000</w:t>
            </w:r>
          </w:p>
        </w:tc>
        <w:tc>
          <w:tcPr>
            <w:tcW w:w="2268" w:type="dxa"/>
            <w:vAlign w:val="center"/>
          </w:tcPr>
          <w:p w14:paraId="21C21CE8" w14:textId="77777777" w:rsidR="00E31BA1" w:rsidRPr="006B3EAF" w:rsidRDefault="00E31BA1" w:rsidP="000E021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105 000 000</w:t>
            </w:r>
          </w:p>
        </w:tc>
        <w:tc>
          <w:tcPr>
            <w:tcW w:w="4365" w:type="dxa"/>
            <w:vAlign w:val="center"/>
          </w:tcPr>
          <w:p w14:paraId="2EDBA927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7DF3B14F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43BA2252" w14:textId="77777777" w:rsidR="00E31BA1" w:rsidRPr="006B3EAF" w:rsidRDefault="00E31BA1" w:rsidP="006D3447">
            <w:pPr>
              <w:jc w:val="both"/>
              <w:rPr>
                <w:i/>
                <w:iCs/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1.3.2.Fenntartható városfejlesztés</w:t>
            </w:r>
          </w:p>
        </w:tc>
        <w:tc>
          <w:tcPr>
            <w:tcW w:w="2268" w:type="dxa"/>
            <w:vAlign w:val="center"/>
          </w:tcPr>
          <w:p w14:paraId="56C38CFD" w14:textId="77777777" w:rsidR="00E31BA1" w:rsidRPr="006B3EAF" w:rsidRDefault="00E31BA1" w:rsidP="000E021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24 315 752 870</w:t>
            </w:r>
          </w:p>
        </w:tc>
        <w:tc>
          <w:tcPr>
            <w:tcW w:w="2268" w:type="dxa"/>
            <w:vAlign w:val="center"/>
          </w:tcPr>
          <w:p w14:paraId="2704A0A6" w14:textId="77777777" w:rsidR="00E31BA1" w:rsidRPr="006B3EAF" w:rsidRDefault="00E31BA1" w:rsidP="000E021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13 015 752 870</w:t>
            </w:r>
          </w:p>
        </w:tc>
        <w:tc>
          <w:tcPr>
            <w:tcW w:w="4365" w:type="dxa"/>
            <w:vAlign w:val="center"/>
          </w:tcPr>
          <w:p w14:paraId="7793D8DE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Felhívások közötti átcsoportosítás.</w:t>
            </w:r>
          </w:p>
        </w:tc>
      </w:tr>
      <w:tr w:rsidR="006B3EAF" w:rsidRPr="006B3EAF" w14:paraId="2946CACE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08E61CDD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2.1.1. Önkormányzati épületek energetikai korszerűsítése</w:t>
            </w:r>
          </w:p>
        </w:tc>
        <w:tc>
          <w:tcPr>
            <w:tcW w:w="2268" w:type="dxa"/>
            <w:vAlign w:val="center"/>
          </w:tcPr>
          <w:p w14:paraId="7EEDF2D1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9 468 856 501</w:t>
            </w:r>
          </w:p>
        </w:tc>
        <w:tc>
          <w:tcPr>
            <w:tcW w:w="2268" w:type="dxa"/>
            <w:vAlign w:val="center"/>
          </w:tcPr>
          <w:p w14:paraId="09894666" w14:textId="77777777" w:rsidR="00E31BA1" w:rsidRPr="006B3EAF" w:rsidRDefault="00E31BA1" w:rsidP="000329B3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9 468 856 501</w:t>
            </w:r>
          </w:p>
        </w:tc>
        <w:tc>
          <w:tcPr>
            <w:tcW w:w="4365" w:type="dxa"/>
            <w:vAlign w:val="center"/>
          </w:tcPr>
          <w:p w14:paraId="725E5DF1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0DE58452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1BDF1C2D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2.1.2. Fenntartható energiahatékonyság</w:t>
            </w:r>
          </w:p>
        </w:tc>
        <w:tc>
          <w:tcPr>
            <w:tcW w:w="2268" w:type="dxa"/>
            <w:vAlign w:val="center"/>
          </w:tcPr>
          <w:p w14:paraId="5948ADEF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4 272 511 597</w:t>
            </w:r>
          </w:p>
        </w:tc>
        <w:tc>
          <w:tcPr>
            <w:tcW w:w="2268" w:type="dxa"/>
            <w:vAlign w:val="center"/>
          </w:tcPr>
          <w:p w14:paraId="54457D85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4 272 511 597</w:t>
            </w:r>
          </w:p>
        </w:tc>
        <w:tc>
          <w:tcPr>
            <w:tcW w:w="4365" w:type="dxa"/>
            <w:vAlign w:val="center"/>
          </w:tcPr>
          <w:p w14:paraId="08ED2D0A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3B400CA8" w14:textId="77777777" w:rsidTr="000E0218">
        <w:trPr>
          <w:trHeight w:val="586"/>
          <w:jc w:val="center"/>
        </w:trPr>
        <w:tc>
          <w:tcPr>
            <w:tcW w:w="3681" w:type="dxa"/>
            <w:vAlign w:val="center"/>
          </w:tcPr>
          <w:p w14:paraId="3911ED4B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2.1.3. Önkormányzati épületek energetikai korszerűsítése (kombinált)</w:t>
            </w:r>
          </w:p>
        </w:tc>
        <w:tc>
          <w:tcPr>
            <w:tcW w:w="2268" w:type="dxa"/>
            <w:vAlign w:val="center"/>
          </w:tcPr>
          <w:p w14:paraId="7FC9363A" w14:textId="77777777" w:rsidR="00E31BA1" w:rsidRPr="006B3EAF" w:rsidRDefault="00E31BA1" w:rsidP="000E0218">
            <w:pPr>
              <w:pStyle w:val="Listaszerbekezd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6532430F" w14:textId="77777777" w:rsidR="00E31BA1" w:rsidRPr="006B3EAF" w:rsidRDefault="00E31BA1" w:rsidP="000E0218">
            <w:pPr>
              <w:pStyle w:val="Listaszerbekezd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5" w:type="dxa"/>
            <w:vAlign w:val="center"/>
          </w:tcPr>
          <w:p w14:paraId="5443772E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3B8C2DAF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233266EB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2.1.4. Fenntartható energiahatékonyság (kombinált)</w:t>
            </w:r>
          </w:p>
        </w:tc>
        <w:tc>
          <w:tcPr>
            <w:tcW w:w="2268" w:type="dxa"/>
            <w:vAlign w:val="center"/>
          </w:tcPr>
          <w:p w14:paraId="5FA30FB3" w14:textId="77777777" w:rsidR="00E31BA1" w:rsidRPr="006B3EAF" w:rsidRDefault="00E31BA1" w:rsidP="000E0218">
            <w:pPr>
              <w:pStyle w:val="Listaszerbekezd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0D9E2710" w14:textId="77777777" w:rsidR="00E31BA1" w:rsidRPr="006B3EAF" w:rsidRDefault="00E31BA1" w:rsidP="000E0218">
            <w:pPr>
              <w:pStyle w:val="Listaszerbekezd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5" w:type="dxa"/>
            <w:vAlign w:val="center"/>
          </w:tcPr>
          <w:p w14:paraId="074D4CE9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669F253C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0BC15E68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3.1.1 Megyei foglalkoztatási- gazdaságfejlesztési együttműködések</w:t>
            </w:r>
          </w:p>
        </w:tc>
        <w:tc>
          <w:tcPr>
            <w:tcW w:w="2268" w:type="dxa"/>
            <w:vAlign w:val="center"/>
          </w:tcPr>
          <w:p w14:paraId="144F685E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5 546 000 000</w:t>
            </w:r>
          </w:p>
        </w:tc>
        <w:tc>
          <w:tcPr>
            <w:tcW w:w="2268" w:type="dxa"/>
            <w:vAlign w:val="center"/>
          </w:tcPr>
          <w:p w14:paraId="4563948C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5 546 000 000</w:t>
            </w:r>
          </w:p>
        </w:tc>
        <w:tc>
          <w:tcPr>
            <w:tcW w:w="4365" w:type="dxa"/>
            <w:vAlign w:val="center"/>
          </w:tcPr>
          <w:p w14:paraId="184693C2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27E14FD5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02644BA3" w14:textId="77777777" w:rsidR="00E31BA1" w:rsidRPr="006B3EAF" w:rsidRDefault="00E31BA1" w:rsidP="006D3447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ind w:left="-10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Szociális célú városrehabilitáció (ESZA +)</w:t>
            </w:r>
          </w:p>
        </w:tc>
        <w:tc>
          <w:tcPr>
            <w:tcW w:w="2268" w:type="dxa"/>
            <w:vAlign w:val="center"/>
          </w:tcPr>
          <w:p w14:paraId="5CB661B6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237 000 000</w:t>
            </w:r>
          </w:p>
        </w:tc>
        <w:tc>
          <w:tcPr>
            <w:tcW w:w="2268" w:type="dxa"/>
            <w:vAlign w:val="center"/>
          </w:tcPr>
          <w:p w14:paraId="5BCF777B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237 000 000</w:t>
            </w:r>
          </w:p>
        </w:tc>
        <w:tc>
          <w:tcPr>
            <w:tcW w:w="4365" w:type="dxa"/>
            <w:vAlign w:val="center"/>
          </w:tcPr>
          <w:p w14:paraId="41279DE6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Felhíváson belüli átcsoportosítás.</w:t>
            </w:r>
          </w:p>
        </w:tc>
      </w:tr>
      <w:tr w:rsidR="006B3EAF" w:rsidRPr="006B3EAF" w14:paraId="7CB1F6B2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09C0589A" w14:textId="77777777" w:rsidR="00E31BA1" w:rsidRPr="006B3EAF" w:rsidRDefault="00E31BA1" w:rsidP="006D3447">
            <w:pPr>
              <w:pStyle w:val="Listaszerbekezds"/>
              <w:numPr>
                <w:ilvl w:val="2"/>
                <w:numId w:val="4"/>
              </w:numPr>
              <w:spacing w:after="0" w:line="240" w:lineRule="auto"/>
              <w:ind w:left="-10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Helyi humán fejlesztések</w:t>
            </w:r>
          </w:p>
        </w:tc>
        <w:tc>
          <w:tcPr>
            <w:tcW w:w="2268" w:type="dxa"/>
            <w:vAlign w:val="center"/>
          </w:tcPr>
          <w:p w14:paraId="3313C498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3 692 000 000</w:t>
            </w:r>
          </w:p>
        </w:tc>
        <w:tc>
          <w:tcPr>
            <w:tcW w:w="2268" w:type="dxa"/>
            <w:vAlign w:val="center"/>
          </w:tcPr>
          <w:p w14:paraId="1869BAFC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3 692 000 000</w:t>
            </w:r>
          </w:p>
        </w:tc>
        <w:tc>
          <w:tcPr>
            <w:tcW w:w="4365" w:type="dxa"/>
            <w:vAlign w:val="center"/>
          </w:tcPr>
          <w:p w14:paraId="2B371F21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688F3765" w14:textId="77777777" w:rsidTr="000E0218">
        <w:trPr>
          <w:trHeight w:val="413"/>
          <w:jc w:val="center"/>
        </w:trPr>
        <w:tc>
          <w:tcPr>
            <w:tcW w:w="3681" w:type="dxa"/>
            <w:vAlign w:val="center"/>
          </w:tcPr>
          <w:p w14:paraId="52521654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lastRenderedPageBreak/>
              <w:t>3.2.1. Fenntartható humán fejlesztések</w:t>
            </w:r>
          </w:p>
        </w:tc>
        <w:tc>
          <w:tcPr>
            <w:tcW w:w="2268" w:type="dxa"/>
            <w:vAlign w:val="center"/>
          </w:tcPr>
          <w:p w14:paraId="322F848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5 925 000 000</w:t>
            </w:r>
          </w:p>
        </w:tc>
        <w:tc>
          <w:tcPr>
            <w:tcW w:w="2268" w:type="dxa"/>
            <w:vAlign w:val="center"/>
          </w:tcPr>
          <w:p w14:paraId="63FC4473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5 925 000 000</w:t>
            </w:r>
          </w:p>
        </w:tc>
        <w:tc>
          <w:tcPr>
            <w:tcW w:w="4365" w:type="dxa"/>
            <w:vAlign w:val="center"/>
          </w:tcPr>
          <w:p w14:paraId="5FDAD0F5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Nem releváns, nem történik átcsoportosítás.</w:t>
            </w:r>
          </w:p>
        </w:tc>
      </w:tr>
      <w:tr w:rsidR="006B3EAF" w:rsidRPr="006B3EAF" w14:paraId="110B87B0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594D0936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3EAF">
              <w:rPr>
                <w:rFonts w:ascii="Times New Roman" w:hAnsi="Times New Roman" w:cs="Times New Roman"/>
                <w:b/>
                <w:bCs/>
              </w:rPr>
              <w:t>3.3.1. Gyermeknevelést támogató humán infrastruktúra fejlesztése</w:t>
            </w:r>
          </w:p>
        </w:tc>
        <w:tc>
          <w:tcPr>
            <w:tcW w:w="2268" w:type="dxa"/>
            <w:vAlign w:val="center"/>
          </w:tcPr>
          <w:p w14:paraId="7B674F8E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3 225 072 000</w:t>
            </w:r>
          </w:p>
        </w:tc>
        <w:tc>
          <w:tcPr>
            <w:tcW w:w="2268" w:type="dxa"/>
            <w:vAlign w:val="center"/>
          </w:tcPr>
          <w:p w14:paraId="4563ECDA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3 225 072 000</w:t>
            </w:r>
          </w:p>
        </w:tc>
        <w:tc>
          <w:tcPr>
            <w:tcW w:w="4365" w:type="dxa"/>
            <w:vMerge w:val="restart"/>
            <w:vAlign w:val="center"/>
          </w:tcPr>
          <w:p w14:paraId="25824130" w14:textId="7E379B9B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 xml:space="preserve">Felhíváson belüli </w:t>
            </w:r>
            <w:r w:rsidR="000329B3">
              <w:rPr>
                <w:rFonts w:ascii="Times New Roman" w:hAnsi="Times New Roman" w:cs="Times New Roman"/>
              </w:rPr>
              <w:t xml:space="preserve">(forrásfelhasználási módok közötti) </w:t>
            </w:r>
            <w:r w:rsidRPr="006B3EAF">
              <w:rPr>
                <w:rFonts w:ascii="Times New Roman" w:hAnsi="Times New Roman" w:cs="Times New Roman"/>
              </w:rPr>
              <w:t>átcsoportosítás.</w:t>
            </w:r>
          </w:p>
        </w:tc>
      </w:tr>
      <w:tr w:rsidR="006B3EAF" w:rsidRPr="006B3EAF" w14:paraId="19ABAABC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026115BA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Bölcsőde fejlesztés</w:t>
            </w:r>
          </w:p>
        </w:tc>
        <w:tc>
          <w:tcPr>
            <w:tcW w:w="2268" w:type="dxa"/>
            <w:vAlign w:val="center"/>
          </w:tcPr>
          <w:p w14:paraId="618B292E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816 000 000</w:t>
            </w:r>
          </w:p>
        </w:tc>
        <w:tc>
          <w:tcPr>
            <w:tcW w:w="2268" w:type="dxa"/>
            <w:vAlign w:val="center"/>
          </w:tcPr>
          <w:p w14:paraId="32B7B4C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527 088 917</w:t>
            </w:r>
          </w:p>
        </w:tc>
        <w:tc>
          <w:tcPr>
            <w:tcW w:w="4365" w:type="dxa"/>
            <w:vMerge/>
            <w:vAlign w:val="center"/>
          </w:tcPr>
          <w:p w14:paraId="4C9F6327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13F0E6B5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69C1A06C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Óvodai fejlesztés</w:t>
            </w:r>
          </w:p>
        </w:tc>
        <w:tc>
          <w:tcPr>
            <w:tcW w:w="2268" w:type="dxa"/>
            <w:vAlign w:val="center"/>
          </w:tcPr>
          <w:p w14:paraId="44343CEE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2 409 072 000</w:t>
            </w:r>
          </w:p>
        </w:tc>
        <w:tc>
          <w:tcPr>
            <w:tcW w:w="2268" w:type="dxa"/>
            <w:vAlign w:val="center"/>
          </w:tcPr>
          <w:p w14:paraId="23124D4E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2 697 983 083</w:t>
            </w:r>
          </w:p>
        </w:tc>
        <w:tc>
          <w:tcPr>
            <w:tcW w:w="4365" w:type="dxa"/>
            <w:vMerge/>
            <w:vAlign w:val="center"/>
          </w:tcPr>
          <w:p w14:paraId="102C70D2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224B418B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1BCF6CFF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3EAF">
              <w:rPr>
                <w:rFonts w:ascii="Times New Roman" w:hAnsi="Times New Roman" w:cs="Times New Roman"/>
                <w:b/>
                <w:bCs/>
              </w:rPr>
              <w:t>3.3.2.Helyi egészségügyi és szociális infrastruktúra fejlesztése</w:t>
            </w:r>
          </w:p>
        </w:tc>
        <w:tc>
          <w:tcPr>
            <w:tcW w:w="2268" w:type="dxa"/>
            <w:vAlign w:val="center"/>
          </w:tcPr>
          <w:p w14:paraId="7F9531CC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1 804 001 249</w:t>
            </w:r>
          </w:p>
        </w:tc>
        <w:tc>
          <w:tcPr>
            <w:tcW w:w="2268" w:type="dxa"/>
            <w:vAlign w:val="center"/>
          </w:tcPr>
          <w:p w14:paraId="19A4640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1 804 001 249</w:t>
            </w:r>
          </w:p>
        </w:tc>
        <w:tc>
          <w:tcPr>
            <w:tcW w:w="4365" w:type="dxa"/>
            <w:vMerge w:val="restart"/>
            <w:vAlign w:val="center"/>
          </w:tcPr>
          <w:p w14:paraId="529E69BC" w14:textId="22314D08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 xml:space="preserve">Felhíváson belüli </w:t>
            </w:r>
            <w:r w:rsidR="000329B3">
              <w:rPr>
                <w:rFonts w:ascii="Times New Roman" w:hAnsi="Times New Roman" w:cs="Times New Roman"/>
              </w:rPr>
              <w:t xml:space="preserve">(forrásfelhasználási módok közötti) </w:t>
            </w:r>
            <w:r w:rsidRPr="006B3EAF">
              <w:rPr>
                <w:rFonts w:ascii="Times New Roman" w:hAnsi="Times New Roman" w:cs="Times New Roman"/>
              </w:rPr>
              <w:t>átcsoportosítás.</w:t>
            </w:r>
          </w:p>
        </w:tc>
      </w:tr>
      <w:tr w:rsidR="006B3EAF" w:rsidRPr="006B3EAF" w14:paraId="14DD9D4E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3C1E28B8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Egészségügyi alap- és szakrendelés</w:t>
            </w:r>
          </w:p>
        </w:tc>
        <w:tc>
          <w:tcPr>
            <w:tcW w:w="2268" w:type="dxa"/>
            <w:vAlign w:val="center"/>
          </w:tcPr>
          <w:p w14:paraId="6C0CEFA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922 284 249</w:t>
            </w:r>
          </w:p>
        </w:tc>
        <w:tc>
          <w:tcPr>
            <w:tcW w:w="2268" w:type="dxa"/>
            <w:vAlign w:val="center"/>
          </w:tcPr>
          <w:p w14:paraId="475317E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887 823 370</w:t>
            </w:r>
          </w:p>
        </w:tc>
        <w:tc>
          <w:tcPr>
            <w:tcW w:w="4365" w:type="dxa"/>
            <w:vMerge/>
            <w:vAlign w:val="center"/>
          </w:tcPr>
          <w:p w14:paraId="59C926AD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2D3FEA2F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14E886BD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  <w:i/>
                <w:iCs/>
              </w:rPr>
              <w:t>Szociális alapszolgáltatás</w:t>
            </w:r>
          </w:p>
        </w:tc>
        <w:tc>
          <w:tcPr>
            <w:tcW w:w="2268" w:type="dxa"/>
            <w:vAlign w:val="center"/>
          </w:tcPr>
          <w:p w14:paraId="3785CC7D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881 717 000</w:t>
            </w:r>
          </w:p>
        </w:tc>
        <w:tc>
          <w:tcPr>
            <w:tcW w:w="2268" w:type="dxa"/>
            <w:vAlign w:val="center"/>
          </w:tcPr>
          <w:p w14:paraId="2302AA5C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916 177 879</w:t>
            </w:r>
          </w:p>
        </w:tc>
        <w:tc>
          <w:tcPr>
            <w:tcW w:w="4365" w:type="dxa"/>
            <w:vMerge/>
            <w:vAlign w:val="center"/>
          </w:tcPr>
          <w:p w14:paraId="384E41D2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B3EAF" w:rsidRPr="006B3EAF" w14:paraId="743952CD" w14:textId="77777777" w:rsidTr="000E0218">
        <w:trPr>
          <w:trHeight w:val="145"/>
          <w:jc w:val="center"/>
        </w:trPr>
        <w:tc>
          <w:tcPr>
            <w:tcW w:w="3681" w:type="dxa"/>
            <w:vAlign w:val="center"/>
          </w:tcPr>
          <w:p w14:paraId="0807DF33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3.3.3.Köznevelési infrastruktúra</w:t>
            </w:r>
          </w:p>
        </w:tc>
        <w:tc>
          <w:tcPr>
            <w:tcW w:w="2268" w:type="dxa"/>
            <w:vAlign w:val="center"/>
          </w:tcPr>
          <w:p w14:paraId="310A5E00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3 444 409 077</w:t>
            </w:r>
          </w:p>
        </w:tc>
        <w:tc>
          <w:tcPr>
            <w:tcW w:w="2268" w:type="dxa"/>
            <w:vAlign w:val="center"/>
          </w:tcPr>
          <w:p w14:paraId="75C501DC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3 444 409 077</w:t>
            </w:r>
          </w:p>
        </w:tc>
        <w:tc>
          <w:tcPr>
            <w:tcW w:w="4365" w:type="dxa"/>
            <w:vAlign w:val="center"/>
          </w:tcPr>
          <w:p w14:paraId="21E5494A" w14:textId="32E88C9C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 xml:space="preserve">Felhíváson belüli </w:t>
            </w:r>
            <w:r w:rsidR="000329B3">
              <w:rPr>
                <w:rFonts w:ascii="Times New Roman" w:hAnsi="Times New Roman" w:cs="Times New Roman"/>
              </w:rPr>
              <w:t xml:space="preserve">(forrásfelhasználási módok közötti) </w:t>
            </w:r>
            <w:r w:rsidRPr="006B3EAF">
              <w:rPr>
                <w:rFonts w:ascii="Times New Roman" w:hAnsi="Times New Roman" w:cs="Times New Roman"/>
              </w:rPr>
              <w:t>átcsoportosítás.</w:t>
            </w:r>
          </w:p>
        </w:tc>
      </w:tr>
      <w:tr w:rsidR="006B3EAF" w:rsidRPr="006B3EAF" w14:paraId="5B9A02DF" w14:textId="77777777" w:rsidTr="000E0218">
        <w:trPr>
          <w:trHeight w:val="751"/>
          <w:jc w:val="center"/>
        </w:trPr>
        <w:tc>
          <w:tcPr>
            <w:tcW w:w="3681" w:type="dxa"/>
            <w:vAlign w:val="center"/>
          </w:tcPr>
          <w:p w14:paraId="562A8825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B3EAF">
              <w:rPr>
                <w:rFonts w:ascii="Times New Roman" w:hAnsi="Times New Roman" w:cs="Times New Roman"/>
              </w:rPr>
              <w:t>6.1.1.Helyi gazdaságfejlesztés</w:t>
            </w:r>
          </w:p>
        </w:tc>
        <w:tc>
          <w:tcPr>
            <w:tcW w:w="2268" w:type="dxa"/>
            <w:vAlign w:val="center"/>
          </w:tcPr>
          <w:p w14:paraId="38B5CF14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5 000 039 444</w:t>
            </w:r>
          </w:p>
        </w:tc>
        <w:tc>
          <w:tcPr>
            <w:tcW w:w="2268" w:type="dxa"/>
            <w:vAlign w:val="center"/>
          </w:tcPr>
          <w:p w14:paraId="31D611BA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4 703 385 292</w:t>
            </w:r>
          </w:p>
        </w:tc>
        <w:tc>
          <w:tcPr>
            <w:tcW w:w="4365" w:type="dxa"/>
            <w:vAlign w:val="center"/>
          </w:tcPr>
          <w:p w14:paraId="7C72CFC7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Felhíváson belüli és felhívások közötti átcsoportosítás (TOP_Plusz-6.1.3, TOP_Plusz-1.2.3).</w:t>
            </w:r>
          </w:p>
        </w:tc>
      </w:tr>
      <w:tr w:rsidR="006B3EAF" w:rsidRPr="006B3EAF" w14:paraId="5C5609CC" w14:textId="77777777" w:rsidTr="000E0218">
        <w:trPr>
          <w:trHeight w:val="1087"/>
          <w:jc w:val="center"/>
        </w:trPr>
        <w:tc>
          <w:tcPr>
            <w:tcW w:w="3681" w:type="dxa"/>
            <w:vAlign w:val="center"/>
          </w:tcPr>
          <w:p w14:paraId="3E6D0F56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6.1.2. 4 és 5 számjegyű utak fejlesztése</w:t>
            </w:r>
          </w:p>
        </w:tc>
        <w:tc>
          <w:tcPr>
            <w:tcW w:w="2268" w:type="dxa"/>
            <w:vAlign w:val="center"/>
          </w:tcPr>
          <w:p w14:paraId="78F2266A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11 234 885 596</w:t>
            </w:r>
          </w:p>
        </w:tc>
        <w:tc>
          <w:tcPr>
            <w:tcW w:w="2268" w:type="dxa"/>
            <w:vAlign w:val="center"/>
          </w:tcPr>
          <w:p w14:paraId="7CB897FB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10 244 885 596</w:t>
            </w:r>
          </w:p>
        </w:tc>
        <w:tc>
          <w:tcPr>
            <w:tcW w:w="4365" w:type="dxa"/>
            <w:vAlign w:val="center"/>
          </w:tcPr>
          <w:p w14:paraId="50AB728A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Felhívások közötti átcsoportosítás (TOP_Plusz-1.1.1, TOP_Plusz-1.2.1., TOP_Plusz-1.2.3).</w:t>
            </w:r>
          </w:p>
        </w:tc>
      </w:tr>
      <w:tr w:rsidR="006B3EAF" w:rsidRPr="006B3EAF" w14:paraId="042B5AD1" w14:textId="77777777" w:rsidTr="000E0218">
        <w:trPr>
          <w:trHeight w:val="782"/>
          <w:jc w:val="center"/>
        </w:trPr>
        <w:tc>
          <w:tcPr>
            <w:tcW w:w="3681" w:type="dxa"/>
            <w:vAlign w:val="center"/>
          </w:tcPr>
          <w:p w14:paraId="6BC2C600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6.1.3.Helyi és térségi turizmusfejlesztés</w:t>
            </w:r>
          </w:p>
        </w:tc>
        <w:tc>
          <w:tcPr>
            <w:tcW w:w="2268" w:type="dxa"/>
            <w:vAlign w:val="center"/>
          </w:tcPr>
          <w:p w14:paraId="2A32E79C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3 385 243 084</w:t>
            </w:r>
          </w:p>
        </w:tc>
        <w:tc>
          <w:tcPr>
            <w:tcW w:w="2268" w:type="dxa"/>
            <w:vAlign w:val="center"/>
          </w:tcPr>
          <w:p w14:paraId="7DEC1E04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3 538 495 496</w:t>
            </w:r>
          </w:p>
        </w:tc>
        <w:tc>
          <w:tcPr>
            <w:tcW w:w="4365" w:type="dxa"/>
            <w:vAlign w:val="center"/>
          </w:tcPr>
          <w:p w14:paraId="66487131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Felhíváson belüli és felhívások közötti átcsoportosítás (TOP_Plusz-6.1.1).</w:t>
            </w:r>
          </w:p>
        </w:tc>
      </w:tr>
      <w:tr w:rsidR="006B3EAF" w:rsidRPr="006B3EAF" w14:paraId="090FA7A8" w14:textId="77777777" w:rsidTr="000E0218">
        <w:trPr>
          <w:trHeight w:val="792"/>
          <w:jc w:val="center"/>
        </w:trPr>
        <w:tc>
          <w:tcPr>
            <w:tcW w:w="3681" w:type="dxa"/>
            <w:vAlign w:val="center"/>
          </w:tcPr>
          <w:p w14:paraId="0E47BAA0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6.1.4. Aktív turizmus fejlesztése</w:t>
            </w:r>
          </w:p>
        </w:tc>
        <w:tc>
          <w:tcPr>
            <w:tcW w:w="2268" w:type="dxa"/>
            <w:vAlign w:val="center"/>
          </w:tcPr>
          <w:p w14:paraId="70CF5687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4 322 263 804</w:t>
            </w:r>
          </w:p>
        </w:tc>
        <w:tc>
          <w:tcPr>
            <w:tcW w:w="2268" w:type="dxa"/>
            <w:vAlign w:val="center"/>
          </w:tcPr>
          <w:p w14:paraId="5D37610B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4 322 263 804</w:t>
            </w:r>
          </w:p>
        </w:tc>
        <w:tc>
          <w:tcPr>
            <w:tcW w:w="4365" w:type="dxa"/>
            <w:vAlign w:val="center"/>
          </w:tcPr>
          <w:p w14:paraId="3092C155" w14:textId="6FFD7D9E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 xml:space="preserve">Felhíváson belüli </w:t>
            </w:r>
            <w:r w:rsidR="000329B3">
              <w:rPr>
                <w:rFonts w:ascii="Times New Roman" w:hAnsi="Times New Roman" w:cs="Times New Roman"/>
              </w:rPr>
              <w:t xml:space="preserve">(forrásfelhasználási módok közötti) </w:t>
            </w:r>
            <w:r w:rsidRPr="006B3EAF">
              <w:rPr>
                <w:rFonts w:ascii="Times New Roman" w:hAnsi="Times New Roman" w:cs="Times New Roman"/>
              </w:rPr>
              <w:t>átcsoportosítás.</w:t>
            </w:r>
          </w:p>
        </w:tc>
      </w:tr>
      <w:tr w:rsidR="006B3EAF" w:rsidRPr="006B3EAF" w14:paraId="1FA06290" w14:textId="77777777" w:rsidTr="000E0218">
        <w:trPr>
          <w:trHeight w:val="1087"/>
          <w:jc w:val="center"/>
        </w:trPr>
        <w:tc>
          <w:tcPr>
            <w:tcW w:w="3681" w:type="dxa"/>
            <w:vAlign w:val="center"/>
          </w:tcPr>
          <w:p w14:paraId="389FA056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-100"/>
              <w:jc w:val="both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6.2.1. Fenntartható versenyképes városfejlesztés</w:t>
            </w:r>
          </w:p>
        </w:tc>
        <w:tc>
          <w:tcPr>
            <w:tcW w:w="2268" w:type="dxa"/>
            <w:vAlign w:val="center"/>
          </w:tcPr>
          <w:p w14:paraId="5ED6E7F2" w14:textId="77777777" w:rsidR="00E31BA1" w:rsidRPr="006B3EAF" w:rsidRDefault="00E31BA1" w:rsidP="000E021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14:paraId="758D0D8C" w14:textId="77777777" w:rsidR="00E31BA1" w:rsidRPr="006B3EAF" w:rsidRDefault="00E31BA1" w:rsidP="000E0218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11 300 000 000</w:t>
            </w:r>
          </w:p>
        </w:tc>
        <w:tc>
          <w:tcPr>
            <w:tcW w:w="4365" w:type="dxa"/>
            <w:vAlign w:val="center"/>
          </w:tcPr>
          <w:p w14:paraId="3F4D9D82" w14:textId="77777777" w:rsidR="00E31BA1" w:rsidRPr="006B3EAF" w:rsidRDefault="00E31BA1" w:rsidP="006D3447">
            <w:pPr>
              <w:pStyle w:val="Listaszerbekezds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B3EAF">
              <w:rPr>
                <w:rFonts w:ascii="Times New Roman" w:hAnsi="Times New Roman" w:cs="Times New Roman"/>
              </w:rPr>
              <w:t>Felhívások közötti átcsoportosítás (TOP_Plusz-1.3.2).</w:t>
            </w:r>
          </w:p>
        </w:tc>
      </w:tr>
    </w:tbl>
    <w:p w14:paraId="66F1FC16" w14:textId="77777777" w:rsidR="00E31BA1" w:rsidRPr="006B3EAF" w:rsidRDefault="00E31BA1" w:rsidP="00E31BA1">
      <w:pPr>
        <w:spacing w:after="160" w:line="259" w:lineRule="auto"/>
        <w:rPr>
          <w:lang w:eastAsia="x-none"/>
        </w:rPr>
        <w:sectPr w:rsidR="00E31BA1" w:rsidRPr="006B3EAF" w:rsidSect="00260AA7">
          <w:headerReference w:type="default" r:id="rId11"/>
          <w:footerReference w:type="default" r:id="rId12"/>
          <w:pgSz w:w="16838" w:h="11906" w:orient="landscape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C60C6A9" w14:textId="77777777" w:rsidR="00E31BA1" w:rsidRPr="006B3EAF" w:rsidRDefault="00E31BA1" w:rsidP="00E31BA1">
      <w:pPr>
        <w:spacing w:after="160" w:line="259" w:lineRule="auto"/>
        <w:jc w:val="both"/>
        <w:rPr>
          <w:lang w:eastAsia="x-none"/>
        </w:rPr>
      </w:pPr>
      <w:r w:rsidRPr="006B3EAF">
        <w:rPr>
          <w:lang w:eastAsia="x-none"/>
        </w:rPr>
        <w:lastRenderedPageBreak/>
        <w:t>A TOP_Plusz ITP forrásallokációja a jelenlegi módosítással a következőképpen alakul: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772"/>
        <w:gridCol w:w="2552"/>
        <w:gridCol w:w="1843"/>
        <w:gridCol w:w="5528"/>
        <w:gridCol w:w="1984"/>
      </w:tblGrid>
      <w:tr w:rsidR="006B3EAF" w:rsidRPr="006B3EAF" w14:paraId="1F454781" w14:textId="77777777" w:rsidTr="000E0218">
        <w:trPr>
          <w:trHeight w:val="531"/>
        </w:trPr>
        <w:tc>
          <w:tcPr>
            <w:tcW w:w="1914" w:type="dxa"/>
            <w:shd w:val="clear" w:color="auto" w:fill="D9D9D9" w:themeFill="background1" w:themeFillShade="D9"/>
            <w:vAlign w:val="center"/>
            <w:hideMark/>
          </w:tcPr>
          <w:p w14:paraId="57B22619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Prioritás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  <w:hideMark/>
          </w:tcPr>
          <w:p w14:paraId="686C6BB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Prioritás keretösszege (Ft)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226D3522" w14:textId="4E8E78C5" w:rsidR="00E31BA1" w:rsidRPr="006B3EAF" w:rsidRDefault="00E31BA1" w:rsidP="006D3447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Intézkedés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529C112C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Intézkedés forráskerete (Ft)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484BAB30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Felhívás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19F320FD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Felhívás/ Tématerület forráskerete (Ft)</w:t>
            </w:r>
          </w:p>
        </w:tc>
      </w:tr>
      <w:tr w:rsidR="006B3EAF" w:rsidRPr="006B3EAF" w14:paraId="6A53F425" w14:textId="77777777" w:rsidTr="000E0218">
        <w:trPr>
          <w:trHeight w:val="410"/>
        </w:trPr>
        <w:tc>
          <w:tcPr>
            <w:tcW w:w="1914" w:type="dxa"/>
            <w:vMerge w:val="restart"/>
            <w:shd w:val="clear" w:color="auto" w:fill="A8D08D" w:themeFill="accent6" w:themeFillTint="99"/>
            <w:vAlign w:val="center"/>
            <w:hideMark/>
          </w:tcPr>
          <w:p w14:paraId="3FD4DF2E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 xml:space="preserve">1. PRIORITÁS: ÉLHETŐ VÁRMEGYE </w:t>
            </w:r>
          </w:p>
        </w:tc>
        <w:tc>
          <w:tcPr>
            <w:tcW w:w="1772" w:type="dxa"/>
            <w:vMerge w:val="restart"/>
            <w:shd w:val="clear" w:color="auto" w:fill="A8D08D" w:themeFill="accent6" w:themeFillTint="99"/>
            <w:vAlign w:val="center"/>
            <w:hideMark/>
          </w:tcPr>
          <w:p w14:paraId="6482ADD8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46 853 232 258</w:t>
            </w: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45411E9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1.1 Klímatudatosság, éghajlatváltozáshoz való alkalmazkodás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283FD45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100 000 000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3C1C60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1.1.1 Klímatudatosság, éghajlatváltozáshoz való alkalmazkodás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D6CBC4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100 000 000</w:t>
            </w:r>
          </w:p>
        </w:tc>
      </w:tr>
      <w:tr w:rsidR="006B3EAF" w:rsidRPr="006B3EAF" w14:paraId="05B58B0D" w14:textId="77777777" w:rsidTr="000E0218">
        <w:trPr>
          <w:trHeight w:val="317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31CA166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30C9EA3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4D2A6145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6DE27D7D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24F5140E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1.1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690F2970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 xml:space="preserve">100 000 000    </w:t>
            </w:r>
          </w:p>
        </w:tc>
      </w:tr>
      <w:tr w:rsidR="006B3EAF" w:rsidRPr="006B3EAF" w14:paraId="0107B3DF" w14:textId="77777777" w:rsidTr="000E0218">
        <w:trPr>
          <w:trHeight w:val="26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20A431A4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61111B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67E212C4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1.2 Településfejlesztés, települési szolgáltatások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66F6CF41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33 632 479 388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2579D99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1.2.1 Élhető települések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9D3BB0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 xml:space="preserve">20 981 331 364 </w:t>
            </w:r>
          </w:p>
        </w:tc>
      </w:tr>
      <w:tr w:rsidR="006B3EAF" w:rsidRPr="006B3EAF" w14:paraId="2C016264" w14:textId="77777777" w:rsidTr="000E0218">
        <w:trPr>
          <w:trHeight w:val="28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1F8C18D4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CA133F0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F526900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0792E8E4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9FD15AC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Ebből: Zöld infrastruktúra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352CB7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 xml:space="preserve">2 885 127 162 </w:t>
            </w:r>
          </w:p>
        </w:tc>
      </w:tr>
      <w:tr w:rsidR="006B3EAF" w:rsidRPr="006B3EAF" w14:paraId="1DCBC787" w14:textId="77777777" w:rsidTr="000E0218">
        <w:trPr>
          <w:trHeight w:val="27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4C285E2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43B2125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17617E1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4A7ED3C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E8F463E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Csapadékvíz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86A744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4 898 963 005</w:t>
            </w:r>
          </w:p>
        </w:tc>
      </w:tr>
      <w:tr w:rsidR="006B3EAF" w:rsidRPr="006B3EAF" w14:paraId="0FDE145B" w14:textId="77777777" w:rsidTr="000E0218">
        <w:trPr>
          <w:trHeight w:val="13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2DB24822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2B85FBC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4E188FFA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1F585ABD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B9DD43D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Kerékpárút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E3D7E5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3 764 709 176</w:t>
            </w:r>
          </w:p>
        </w:tc>
      </w:tr>
      <w:tr w:rsidR="006B3EAF" w:rsidRPr="006B3EAF" w14:paraId="252F8C0C" w14:textId="77777777" w:rsidTr="000E0218">
        <w:trPr>
          <w:trHeight w:val="15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55BFA852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34A933A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5A2F2352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5D6AED9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A296370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1.2.2 Szociális célú városrehabilitáció (ERFA)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D8B89F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488 000 000</w:t>
            </w:r>
          </w:p>
        </w:tc>
      </w:tr>
      <w:tr w:rsidR="006B3EAF" w:rsidRPr="006B3EAF" w14:paraId="3F54C080" w14:textId="77777777" w:rsidTr="000E0218">
        <w:trPr>
          <w:trHeight w:val="31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2C1C6B7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954B762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20C190C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4529B128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B7E368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1.2.3 Belterületi utak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EC191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12 163 148 024</w:t>
            </w:r>
          </w:p>
        </w:tc>
      </w:tr>
      <w:tr w:rsidR="006B3EAF" w:rsidRPr="006B3EAF" w14:paraId="38E991EE" w14:textId="77777777" w:rsidTr="000E0218">
        <w:trPr>
          <w:trHeight w:val="480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3169CCC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42E11BA6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50EE7BBB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680D994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CBD817E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1.2.4 Szegregált városi területekről integrált területekre költözés támogatása (PILOT)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1DBD0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B3EAF" w:rsidRPr="006B3EAF" w14:paraId="7D5A4D79" w14:textId="77777777" w:rsidTr="000E0218">
        <w:trPr>
          <w:trHeight w:val="18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3902FE0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7D898B19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0AA3F7C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3E52463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755BD74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1.2 összesen: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5F5FE829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33 632 479 388</w:t>
            </w:r>
          </w:p>
        </w:tc>
      </w:tr>
      <w:tr w:rsidR="006B3EAF" w:rsidRPr="006B3EAF" w14:paraId="5BAEC9FB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0C5B205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1EF41CA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15FBAF86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1.3 Fenntartható városfejlesztés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73896964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13 120 752 870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799D06A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1.3.1 Fenntartható városfejlesztési stratégiák támogatása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143E82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105 000 000</w:t>
            </w:r>
          </w:p>
        </w:tc>
      </w:tr>
      <w:tr w:rsidR="006B3EAF" w:rsidRPr="006B3EAF" w14:paraId="3C722213" w14:textId="77777777" w:rsidTr="000E0218">
        <w:trPr>
          <w:trHeight w:val="251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5B878A5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79D2CB26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6C85CB4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6F992E7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6297A91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 xml:space="preserve">1.3.2 Fenntartható városfejlesztés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3E19D6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 xml:space="preserve">13 015 752 870 </w:t>
            </w:r>
          </w:p>
        </w:tc>
      </w:tr>
      <w:tr w:rsidR="006B3EAF" w:rsidRPr="006B3EAF" w14:paraId="241C9497" w14:textId="77777777" w:rsidTr="000E0218">
        <w:trPr>
          <w:trHeight w:val="28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01920C2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AE8A7B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A7784EE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4633752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3F223914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1.3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1EF47AED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13 120 752 870</w:t>
            </w:r>
          </w:p>
        </w:tc>
      </w:tr>
      <w:tr w:rsidR="006B3EAF" w:rsidRPr="006B3EAF" w14:paraId="10AE9776" w14:textId="77777777" w:rsidTr="000E0218">
        <w:trPr>
          <w:trHeight w:val="375"/>
        </w:trPr>
        <w:tc>
          <w:tcPr>
            <w:tcW w:w="1914" w:type="dxa"/>
            <w:vMerge w:val="restart"/>
            <w:shd w:val="clear" w:color="auto" w:fill="A8D08D" w:themeFill="accent6" w:themeFillTint="99"/>
            <w:vAlign w:val="center"/>
            <w:hideMark/>
          </w:tcPr>
          <w:p w14:paraId="777D2B0F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 PRIORITÁS: KLÍMABARÁT VÁRMEGYE</w:t>
            </w:r>
          </w:p>
        </w:tc>
        <w:tc>
          <w:tcPr>
            <w:tcW w:w="1772" w:type="dxa"/>
            <w:vMerge w:val="restart"/>
            <w:shd w:val="clear" w:color="auto" w:fill="A8D08D" w:themeFill="accent6" w:themeFillTint="99"/>
            <w:vAlign w:val="center"/>
            <w:hideMark/>
          </w:tcPr>
          <w:p w14:paraId="17E9E639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13 741 368 098</w:t>
            </w: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331D148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2.1 Klímabarát vármegye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29366FF4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13 741 368 098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871B158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2.1.1 Önkormányzati épületek energetikai korszerűsítése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AD5550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9 468 856 501</w:t>
            </w:r>
          </w:p>
        </w:tc>
      </w:tr>
      <w:tr w:rsidR="006B3EAF" w:rsidRPr="006B3EAF" w14:paraId="7C91C44D" w14:textId="77777777" w:rsidTr="000E0218">
        <w:trPr>
          <w:trHeight w:val="309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14F5429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2008619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7C94A350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6D4A1C8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F34AF8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2.1.2 Fenntartható energiahatékonyság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3E6ABE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4 272 511 597</w:t>
            </w:r>
          </w:p>
        </w:tc>
      </w:tr>
      <w:tr w:rsidR="006B3EAF" w:rsidRPr="006B3EAF" w14:paraId="689888AC" w14:textId="77777777" w:rsidTr="000E0218">
        <w:trPr>
          <w:trHeight w:val="480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F24B089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3D956DA2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89BAF0D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77975F5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5314960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2.1.3 Önkormányzati épületek energetikai korszerűsítése (kombinált)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D8A75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B3EAF" w:rsidRPr="006B3EAF" w14:paraId="6CFE57E1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3EC0270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6CA6B4CC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5272F437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1F0FB06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7F04C9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2.1.4 Fenntartható energiahatékonyság (kombinált)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B82F61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-</w:t>
            </w:r>
          </w:p>
        </w:tc>
      </w:tr>
      <w:tr w:rsidR="006B3EAF" w:rsidRPr="006B3EAF" w14:paraId="3499EB50" w14:textId="77777777" w:rsidTr="000E0218">
        <w:trPr>
          <w:trHeight w:val="243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47E430E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2ADF54B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54C1C838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292B011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71D55C5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2.1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2143798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13 741 368 098</w:t>
            </w:r>
          </w:p>
        </w:tc>
      </w:tr>
      <w:tr w:rsidR="006B3EAF" w:rsidRPr="006B3EAF" w14:paraId="35A42252" w14:textId="77777777" w:rsidTr="000E0218">
        <w:trPr>
          <w:trHeight w:val="480"/>
        </w:trPr>
        <w:tc>
          <w:tcPr>
            <w:tcW w:w="1914" w:type="dxa"/>
            <w:vMerge w:val="restart"/>
            <w:shd w:val="clear" w:color="auto" w:fill="A8D08D" w:themeFill="accent6" w:themeFillTint="99"/>
            <w:vAlign w:val="center"/>
            <w:hideMark/>
          </w:tcPr>
          <w:p w14:paraId="0FE5298B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 PRIORITÁS: GONDOSKODÓ VÁRMEGYE</w:t>
            </w:r>
          </w:p>
        </w:tc>
        <w:tc>
          <w:tcPr>
            <w:tcW w:w="1772" w:type="dxa"/>
            <w:vMerge w:val="restart"/>
            <w:shd w:val="clear" w:color="auto" w:fill="A8D08D" w:themeFill="accent6" w:themeFillTint="99"/>
            <w:vAlign w:val="center"/>
            <w:hideMark/>
          </w:tcPr>
          <w:p w14:paraId="657765ED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32 618 369 456</w:t>
            </w: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308E2A49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3.1 Vármegyei és térségi fejlesztések (ESZA+ elemei)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58F90FA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 xml:space="preserve">9 475 000 000 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5DA716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3.1.1 Megyei foglalkoztatási-gazdaságfejlesztési együttműködések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3D604D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5 546 000 000</w:t>
            </w:r>
          </w:p>
        </w:tc>
      </w:tr>
      <w:tr w:rsidR="006B3EAF" w:rsidRPr="006B3EAF" w14:paraId="2639AB95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4C56E0A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51B760F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198D042E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51E60D4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1997D2C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3.1.2 Szociális célú városrehabilitáció (ESZA+)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63C2EB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237 000 000</w:t>
            </w:r>
          </w:p>
        </w:tc>
      </w:tr>
      <w:tr w:rsidR="006B3EAF" w:rsidRPr="006B3EAF" w14:paraId="2FA2698F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0D783C0A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8A3F4FE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24FA984E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3CB1AE9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784CBC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3.1.3 Helyi humán fejlesztések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8A45BF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3 692 000 000</w:t>
            </w:r>
          </w:p>
        </w:tc>
      </w:tr>
      <w:tr w:rsidR="006B3EAF" w:rsidRPr="006B3EAF" w14:paraId="7B40A76E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04B85D22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2FD98E16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482CA654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73F5B12A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339A917E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3.1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4BCC64B7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9 475 000 000</w:t>
            </w:r>
          </w:p>
        </w:tc>
      </w:tr>
      <w:tr w:rsidR="006B3EAF" w:rsidRPr="006B3EAF" w14:paraId="56593C73" w14:textId="77777777" w:rsidTr="000E0218">
        <w:trPr>
          <w:trHeight w:val="410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A6416D3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6CCCA432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1C402A3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 2 Fenntartható városfejlesztés (ESZA+ elemei)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57A5CD0D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5 925 000 000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EB86184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3.2.1 Fenntartható humán fejlesztések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81BDBF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5 925 000 000</w:t>
            </w:r>
          </w:p>
        </w:tc>
      </w:tr>
      <w:tr w:rsidR="006B3EAF" w:rsidRPr="006B3EAF" w14:paraId="773E4D3F" w14:textId="77777777" w:rsidTr="000E0218">
        <w:trPr>
          <w:trHeight w:val="414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3870EF7B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FA00425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18CBDDB4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60050932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3C3EB5F4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3.2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4CD735F8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5 925 000 000</w:t>
            </w:r>
          </w:p>
        </w:tc>
      </w:tr>
      <w:tr w:rsidR="006B3EAF" w:rsidRPr="006B3EAF" w14:paraId="6C03D374" w14:textId="77777777" w:rsidTr="000E0218">
        <w:trPr>
          <w:trHeight w:val="421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2C266824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8760977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4355F2A5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3.3 Helyi és térségi közszolgáltatások (ERFA)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534A8AAB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8 473 482 326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6DB69D1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3.3.1 Gyermeknevelést támogató humán infrastruktúra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B51C1A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3 225 072 000</w:t>
            </w:r>
          </w:p>
        </w:tc>
      </w:tr>
      <w:tr w:rsidR="006B3EAF" w:rsidRPr="006B3EAF" w14:paraId="03E533DA" w14:textId="77777777" w:rsidTr="000E0218">
        <w:trPr>
          <w:trHeight w:val="188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69D40A51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069CA4F7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42713B8C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0D063CF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35D4757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Bölcsődei fejlesztés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86A141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527 088 917</w:t>
            </w:r>
          </w:p>
        </w:tc>
      </w:tr>
      <w:tr w:rsidR="006B3EAF" w:rsidRPr="006B3EAF" w14:paraId="7BDC4503" w14:textId="77777777" w:rsidTr="000E0218">
        <w:trPr>
          <w:trHeight w:val="347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0B02E1C7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089C4FE3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6FB15A9B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01EDCD6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AEE44EF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Óvodai fejlesztés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D74E1B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2 697 983 083</w:t>
            </w:r>
          </w:p>
        </w:tc>
      </w:tr>
      <w:tr w:rsidR="006B3EAF" w:rsidRPr="006B3EAF" w14:paraId="5176FE51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4C5070CF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4504A49E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5E2C1F0F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5DB05E3C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21C113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3.3.2 Helyi egészségügyi és szociális infrastruktúra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CC6623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1 804 001 249</w:t>
            </w:r>
          </w:p>
        </w:tc>
      </w:tr>
      <w:tr w:rsidR="006B3EAF" w:rsidRPr="006B3EAF" w14:paraId="6206BD8C" w14:textId="77777777" w:rsidTr="000E0218">
        <w:trPr>
          <w:trHeight w:val="189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5D074CB4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7C168914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0795AF7E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147A258E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CFF7594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Egészégügyi alap-és szakrendelés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4E830F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887 823 370</w:t>
            </w:r>
          </w:p>
        </w:tc>
      </w:tr>
      <w:tr w:rsidR="006B3EAF" w:rsidRPr="006B3EAF" w14:paraId="5D065911" w14:textId="77777777" w:rsidTr="000E0218">
        <w:trPr>
          <w:trHeight w:val="77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37A2A1AA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7520CF9F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06C9F0F0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0C2CE98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206A3D3" w14:textId="77777777" w:rsidR="00E31BA1" w:rsidRPr="006B3EAF" w:rsidRDefault="00E31BA1" w:rsidP="000E0218">
            <w:pPr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Szociális alapszolgáltatás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C7A4B4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916 177 879</w:t>
            </w:r>
          </w:p>
        </w:tc>
      </w:tr>
      <w:tr w:rsidR="006B3EAF" w:rsidRPr="006B3EAF" w14:paraId="1B3F2FC8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5793CC8C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5C1AFBDC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123D216F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4E385220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1B3754F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3.3.3 Köznevelési infrastruktúra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A82FD1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3 444 409 077</w:t>
            </w:r>
          </w:p>
        </w:tc>
      </w:tr>
      <w:tr w:rsidR="006B3EAF" w:rsidRPr="006B3EAF" w14:paraId="3C3FB6DD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6218D0BD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6D0CCEA1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1F5FECE1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3E0F26EA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6654BB2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3.3 összesen: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5B9D4A7E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8 473 482 326</w:t>
            </w:r>
          </w:p>
        </w:tc>
      </w:tr>
      <w:tr w:rsidR="006B3EAF" w:rsidRPr="006B3EAF" w14:paraId="407C3050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357161F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6EF89B4B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526A8C26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3.4 Fenntartható humán infrastruktúra (ERFA)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5C8F6A0A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8 744 887 130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4E3F27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3.4.1 Fenntartható humán infrastruktúra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D9FAED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8 744 887 130</w:t>
            </w:r>
          </w:p>
        </w:tc>
      </w:tr>
      <w:tr w:rsidR="006B3EAF" w:rsidRPr="006B3EAF" w14:paraId="40080F3A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7563B36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422A71C4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715B3C73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542AF639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0F34B8A9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3.4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749CD799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8 744 887 130</w:t>
            </w:r>
          </w:p>
        </w:tc>
      </w:tr>
      <w:tr w:rsidR="006B3EAF" w:rsidRPr="006B3EAF" w14:paraId="5D27C46F" w14:textId="77777777" w:rsidTr="000E0218">
        <w:trPr>
          <w:trHeight w:val="375"/>
        </w:trPr>
        <w:tc>
          <w:tcPr>
            <w:tcW w:w="1914" w:type="dxa"/>
            <w:vMerge w:val="restart"/>
            <w:shd w:val="clear" w:color="auto" w:fill="A8D08D" w:themeFill="accent6" w:themeFillTint="99"/>
            <w:vAlign w:val="center"/>
            <w:hideMark/>
          </w:tcPr>
          <w:p w14:paraId="103D0DA6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 PRIORITÁS: VERSENYKÉPES VÁRMEGYE</w:t>
            </w:r>
          </w:p>
        </w:tc>
        <w:tc>
          <w:tcPr>
            <w:tcW w:w="1772" w:type="dxa"/>
            <w:vMerge w:val="restart"/>
            <w:shd w:val="clear" w:color="auto" w:fill="A8D08D" w:themeFill="accent6" w:themeFillTint="99"/>
            <w:vAlign w:val="center"/>
            <w:hideMark/>
          </w:tcPr>
          <w:p w14:paraId="11414A29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34 109 030 188</w:t>
            </w: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10C6CADC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6.1 Helyi gazdaságfejlesztés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356103BC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 xml:space="preserve">22 809 030 188 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5D90468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6.1.1 Helyi gazdaságfejlesztés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8B0410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4 703 385 292</w:t>
            </w:r>
          </w:p>
        </w:tc>
      </w:tr>
      <w:tr w:rsidR="006B3EAF" w:rsidRPr="006B3EAF" w14:paraId="6D202BC5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59A7C25F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13D88D82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75B96347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64229DB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F0875B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6.1.2 4 és 5 számjegyű utak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994606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 xml:space="preserve">10 244 885 596 </w:t>
            </w:r>
          </w:p>
        </w:tc>
      </w:tr>
      <w:tr w:rsidR="006B3EAF" w:rsidRPr="006B3EAF" w14:paraId="3F713B20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063C0B5F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488CF714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62EFA39D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1E64A6B6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65C6471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6.1.3 Helyi és térségi turizmusfejlesztés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861219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3 538 495 496</w:t>
            </w:r>
          </w:p>
        </w:tc>
      </w:tr>
      <w:tr w:rsidR="006B3EAF" w:rsidRPr="006B3EAF" w14:paraId="757D8C2D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5F5FFC8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79628E98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55054FA2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47CCE1C7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9FE66A9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6.1.4 Aktív turizmus fejlesztése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B5334A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4 322 263 804</w:t>
            </w:r>
          </w:p>
        </w:tc>
      </w:tr>
      <w:tr w:rsidR="006B3EAF" w:rsidRPr="006B3EAF" w14:paraId="0D6B98DE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6C778292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3FD90E5B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05088185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325D713B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45CDBAD3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6.1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00851B0E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22 809 030 188</w:t>
            </w:r>
          </w:p>
        </w:tc>
      </w:tr>
      <w:tr w:rsidR="006B3EAF" w:rsidRPr="006B3EAF" w14:paraId="65D3702D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3D439A3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2FB42860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2D7DBA60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6.2 Fenntartható versenyképes városfejlesztés</w:t>
            </w:r>
          </w:p>
        </w:tc>
        <w:tc>
          <w:tcPr>
            <w:tcW w:w="1843" w:type="dxa"/>
            <w:vMerge w:val="restart"/>
            <w:shd w:val="clear" w:color="auto" w:fill="BDD6EE" w:themeFill="accent5" w:themeFillTint="66"/>
            <w:vAlign w:val="center"/>
            <w:hideMark/>
          </w:tcPr>
          <w:p w14:paraId="4B63C400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11 300 000 000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D6306A5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6.2.1 Fenntartható versenyképes városfejlesztés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02CF31" w14:textId="77777777" w:rsidR="00E31BA1" w:rsidRPr="006B3EAF" w:rsidRDefault="00E31BA1" w:rsidP="000E0218">
            <w:pPr>
              <w:jc w:val="center"/>
              <w:rPr>
                <w:sz w:val="22"/>
                <w:szCs w:val="22"/>
              </w:rPr>
            </w:pPr>
            <w:r w:rsidRPr="006B3EAF">
              <w:rPr>
                <w:sz w:val="22"/>
                <w:szCs w:val="22"/>
              </w:rPr>
              <w:t>11 300 000 000</w:t>
            </w:r>
          </w:p>
        </w:tc>
      </w:tr>
      <w:tr w:rsidR="006B3EAF" w:rsidRPr="006B3EAF" w14:paraId="2C252173" w14:textId="77777777" w:rsidTr="000E0218">
        <w:trPr>
          <w:trHeight w:val="375"/>
        </w:trPr>
        <w:tc>
          <w:tcPr>
            <w:tcW w:w="1914" w:type="dxa"/>
            <w:vMerge/>
            <w:shd w:val="clear" w:color="auto" w:fill="A8D08D" w:themeFill="accent6" w:themeFillTint="99"/>
            <w:vAlign w:val="center"/>
            <w:hideMark/>
          </w:tcPr>
          <w:p w14:paraId="7B836568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8D08D" w:themeFill="accent6" w:themeFillTint="99"/>
            <w:vAlign w:val="center"/>
            <w:hideMark/>
          </w:tcPr>
          <w:p w14:paraId="7AD638AB" w14:textId="77777777" w:rsidR="00E31BA1" w:rsidRPr="006B3EAF" w:rsidRDefault="00E31BA1" w:rsidP="000E021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BDD6EE" w:themeFill="accent5" w:themeFillTint="66"/>
            <w:vAlign w:val="center"/>
            <w:hideMark/>
          </w:tcPr>
          <w:p w14:paraId="0748FBEC" w14:textId="77777777" w:rsidR="00E31BA1" w:rsidRPr="006B3EAF" w:rsidRDefault="00E31BA1" w:rsidP="006D3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  <w:vAlign w:val="center"/>
            <w:hideMark/>
          </w:tcPr>
          <w:p w14:paraId="15F553B2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14:paraId="7F9887A9" w14:textId="77777777" w:rsidR="00E31BA1" w:rsidRPr="006B3EAF" w:rsidRDefault="00E31BA1" w:rsidP="000E0218">
            <w:pPr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6.2 összesen</w:t>
            </w:r>
          </w:p>
        </w:tc>
        <w:tc>
          <w:tcPr>
            <w:tcW w:w="1984" w:type="dxa"/>
            <w:shd w:val="clear" w:color="000000" w:fill="D9D9D9"/>
            <w:vAlign w:val="center"/>
            <w:hideMark/>
          </w:tcPr>
          <w:p w14:paraId="199960D9" w14:textId="77777777" w:rsidR="00E31BA1" w:rsidRPr="006B3EAF" w:rsidRDefault="00E31BA1" w:rsidP="000E0218">
            <w:pPr>
              <w:jc w:val="center"/>
              <w:rPr>
                <w:b/>
                <w:bCs/>
                <w:sz w:val="22"/>
                <w:szCs w:val="22"/>
              </w:rPr>
            </w:pPr>
            <w:r w:rsidRPr="006B3EAF">
              <w:rPr>
                <w:b/>
                <w:bCs/>
                <w:sz w:val="22"/>
                <w:szCs w:val="22"/>
              </w:rPr>
              <w:t>11 300 000 000</w:t>
            </w:r>
          </w:p>
        </w:tc>
      </w:tr>
    </w:tbl>
    <w:p w14:paraId="27811098" w14:textId="77777777" w:rsidR="00E31BA1" w:rsidRPr="006B3EAF" w:rsidRDefault="00E31BA1" w:rsidP="00E31BA1">
      <w:pPr>
        <w:spacing w:after="160" w:line="259" w:lineRule="auto"/>
        <w:rPr>
          <w:iCs/>
          <w:lang w:eastAsia="x-none"/>
        </w:rPr>
      </w:pPr>
      <w:r w:rsidRPr="006B3EAF">
        <w:rPr>
          <w:lang w:eastAsia="x-none"/>
        </w:rPr>
        <w:br w:type="page"/>
      </w:r>
    </w:p>
    <w:p w14:paraId="1D666C91" w14:textId="77777777" w:rsidR="00E31BA1" w:rsidRPr="006B3EAF" w:rsidRDefault="00E31BA1" w:rsidP="00E31BA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  <w:sectPr w:rsidR="00E31BA1" w:rsidRPr="006B3EAF" w:rsidSect="00260AA7">
          <w:pgSz w:w="16838" w:h="11906" w:orient="landscape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7D5FA5E1" w14:textId="7C8FD24D" w:rsidR="00E31BA1" w:rsidRPr="006B3EAF" w:rsidRDefault="00E31BA1" w:rsidP="00F71FFB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lastRenderedPageBreak/>
        <w:t>A Forrásallokációs táblázatban a kiemelt kedvezményezett</w:t>
      </w:r>
      <w:r w:rsidR="009E575A">
        <w:rPr>
          <w:rFonts w:ascii="Times New Roman" w:hAnsi="Times New Roman" w:cs="Times New Roman"/>
          <w:bCs/>
          <w:sz w:val="24"/>
          <w:szCs w:val="24"/>
        </w:rPr>
        <w:t>ek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között található Hajdú-Bihar Vármegye Önkormányzata. Tekintettel a Miniszterelnökség elvárására</w:t>
      </w:r>
      <w:r w:rsidR="001877C4">
        <w:rPr>
          <w:rFonts w:ascii="Times New Roman" w:hAnsi="Times New Roman" w:cs="Times New Roman"/>
          <w:bCs/>
          <w:sz w:val="24"/>
          <w:szCs w:val="24"/>
        </w:rPr>
        <w:t>,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a szervezethez lett tervezve a TOP_Plusz-1.1. - Klímatudatosság, éghajlatváltozásokhoz való alkalmazkodás c</w:t>
      </w:r>
      <w:r w:rsidR="001877C4">
        <w:rPr>
          <w:rFonts w:ascii="Times New Roman" w:hAnsi="Times New Roman" w:cs="Times New Roman"/>
          <w:bCs/>
          <w:sz w:val="24"/>
          <w:szCs w:val="24"/>
        </w:rPr>
        <w:t>ímű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felhívás jelenleg rendelkezésre álló keretösszege. Továbbá a TOP_Plusz-6.1.4.- Aktív turizmus c</w:t>
      </w:r>
      <w:r w:rsidR="001877C4">
        <w:rPr>
          <w:rFonts w:ascii="Times New Roman" w:hAnsi="Times New Roman" w:cs="Times New Roman"/>
          <w:bCs/>
          <w:sz w:val="24"/>
          <w:szCs w:val="24"/>
        </w:rPr>
        <w:t>ímű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felhívásra tervezett összeg, - melynek 90%-a eddig is a vármegyei önkormányzatnál jelent meg,- is a kiemelt kedvezményezetthez került.</w:t>
      </w:r>
    </w:p>
    <w:p w14:paraId="596B9336" w14:textId="64DF529F" w:rsidR="00E31BA1" w:rsidRPr="006B3EAF" w:rsidRDefault="00E31BA1" w:rsidP="00F71FFB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 xml:space="preserve">Az 5. földrajzi célterület és a hozzá tartozó VI. forrásfelhasználási mód esetén a </w:t>
      </w:r>
      <w:r w:rsidR="001877C4">
        <w:rPr>
          <w:rFonts w:ascii="Times New Roman" w:hAnsi="Times New Roman" w:cs="Times New Roman"/>
          <w:bCs/>
          <w:sz w:val="24"/>
          <w:szCs w:val="24"/>
        </w:rPr>
        <w:br/>
        <w:t>„</w:t>
      </w:r>
      <w:r w:rsidRPr="006B3EAF">
        <w:rPr>
          <w:rFonts w:ascii="Times New Roman" w:hAnsi="Times New Roman" w:cs="Times New Roman"/>
          <w:bCs/>
          <w:sz w:val="24"/>
          <w:szCs w:val="24"/>
        </w:rPr>
        <w:t>Ligetalja-Érmellék</w:t>
      </w:r>
      <w:r w:rsidR="001877C4">
        <w:rPr>
          <w:rFonts w:ascii="Times New Roman" w:hAnsi="Times New Roman" w:cs="Times New Roman"/>
          <w:bCs/>
          <w:sz w:val="24"/>
          <w:szCs w:val="24"/>
        </w:rPr>
        <w:t>”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térsége megnevezés módosításra kerül </w:t>
      </w:r>
      <w:r w:rsidR="001877C4">
        <w:rPr>
          <w:rFonts w:ascii="Times New Roman" w:hAnsi="Times New Roman" w:cs="Times New Roman"/>
          <w:bCs/>
          <w:sz w:val="24"/>
          <w:szCs w:val="24"/>
        </w:rPr>
        <w:t>„</w:t>
      </w:r>
      <w:r w:rsidRPr="006B3EAF">
        <w:rPr>
          <w:rFonts w:ascii="Times New Roman" w:hAnsi="Times New Roman" w:cs="Times New Roman"/>
          <w:bCs/>
          <w:sz w:val="24"/>
          <w:szCs w:val="24"/>
        </w:rPr>
        <w:t>Keleti agglomerációs térség</w:t>
      </w:r>
      <w:r w:rsidR="001877C4">
        <w:rPr>
          <w:rFonts w:ascii="Times New Roman" w:hAnsi="Times New Roman" w:cs="Times New Roman"/>
          <w:bCs/>
          <w:sz w:val="24"/>
          <w:szCs w:val="24"/>
        </w:rPr>
        <w:t>”</w:t>
      </w:r>
      <w:r w:rsidRPr="006B3EAF">
        <w:rPr>
          <w:rFonts w:ascii="Times New Roman" w:hAnsi="Times New Roman" w:cs="Times New Roman"/>
          <w:bCs/>
          <w:sz w:val="24"/>
          <w:szCs w:val="24"/>
        </w:rPr>
        <w:t>-re a 2021. évben elfogadott tervezési dokumentumban megjelölt tájegységre utaló megnevezés helyett – tekintettel arra, hogy az ITP elfogadásának időpontjához képest kedvező gazdasági folyamatok indultak el.</w:t>
      </w:r>
    </w:p>
    <w:p w14:paraId="0EFB5CCE" w14:textId="667191F9" w:rsidR="00E31BA1" w:rsidRPr="006B3EAF" w:rsidRDefault="00E31BA1" w:rsidP="00F71FFB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Az ITP módosításhoz új indikátor táblázat került megküldésre a Miniszterelnökség részéről mind a vármegye, mind az FVS-el érintett település részére, melyet a Miniszterelnökség a felhasználandó források arányában határozott meg. A táblázat a vármegye esetében már időarányos indikátor értékeket is tartalmaz.</w:t>
      </w:r>
    </w:p>
    <w:p w14:paraId="5C240AAC" w14:textId="68EFC04D" w:rsidR="00E31BA1" w:rsidRPr="006B3EAF" w:rsidRDefault="00E31BA1" w:rsidP="00E1297E">
      <w:pPr>
        <w:pStyle w:val="Listaszerbekezds"/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Az eredeti ITP-ben, a korábbi 116,14 Mrd Ft-nyi támogatás</w:t>
      </w:r>
      <w:r w:rsidR="001877C4">
        <w:rPr>
          <w:rFonts w:ascii="Times New Roman" w:hAnsi="Times New Roman" w:cs="Times New Roman"/>
          <w:bCs/>
          <w:sz w:val="24"/>
          <w:szCs w:val="24"/>
        </w:rPr>
        <w:t>i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 összeghez rendelve kerültek meghatározásra kimeneti indikátorok a Versenyképes vármegye prioritáshoz (10 db), a Klímabarát vármegye prioritáshoz (4 db) és a Gondoskodó vármegye prioritáshoz (6 db). A Miniszterelnökség részéről megküldött indikátor tábla a korábbi, vármegyére vonatkozó, összesen 20 db kimeneti indikátor helyett 56 db indikátort tartalmaz. (Az Európai Bizottsággal folytatott tárgyalások alapján vált szükségessé további indikátorok megjelenítése az ITP-ben.): 1. prioritáshoz 12 db, a 2. prioritáshoz 6 db, a 3. prioritáshoz 29, a 6. prioritáshoz 9 db indikátor került hozzárendelésre. Az FVS részre vonatkozóan szintén kibővített indikátor táblázat került kiküldésre összesen 46 db indikátorral, melyből az 1. prioritáshoz 13 db, a 2. prioritáshoz 6 db, a 3. prioritáshoz 22 db, a 6. prioritáshoz 5 db indikátor tartozik. Az FVS indikátorok esetében, ahol még nem véglegesek a stratégiai dokumentumok, az év második felében várható, hogy az indikátor értékek felülvizsgálata megtörténik.</w:t>
      </w:r>
    </w:p>
    <w:p w14:paraId="6DBA5F65" w14:textId="0D489621" w:rsidR="00E31BA1" w:rsidRPr="006B3EAF" w:rsidRDefault="00E31BA1" w:rsidP="009034B6">
      <w:pPr>
        <w:pStyle w:val="Listaszerbekezds"/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A</w:t>
      </w:r>
      <w:r w:rsidR="003A6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EAF">
        <w:rPr>
          <w:rFonts w:ascii="Times New Roman" w:hAnsi="Times New Roman" w:cs="Times New Roman"/>
          <w:bCs/>
          <w:sz w:val="24"/>
          <w:szCs w:val="24"/>
        </w:rPr>
        <w:t xml:space="preserve">Miniszterelnökség által visszamutatásra megküldött táblázatban olyan indikátorok, szakmai-műszaki mutatók szerepelnek, melyeknek csak egy része szerepelt, szerepel a releváns felhívásban. Az indikátorokhoz még nem kerültek megküldésre Indikátor definíciós adatlapok, mely az indikátorok értelmezését, a teljesítés módját, a teljesítés igazolásának módját határozzák meg. </w:t>
      </w:r>
    </w:p>
    <w:p w14:paraId="21EA89A6" w14:textId="40CF68E3" w:rsidR="00E31BA1" w:rsidRPr="006B3EAF" w:rsidRDefault="00E31BA1" w:rsidP="009034B6">
      <w:pPr>
        <w:pStyle w:val="Listaszerbekezds"/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>Továbbá a jelenlegi ITP módosításban szerepeltetendő vármegyei és FVS indikátor értékek az OP-ból való vármegyei forrás részesedés arányában kerültek meghatározásra.</w:t>
      </w:r>
    </w:p>
    <w:p w14:paraId="3DAF64C5" w14:textId="377E0B50" w:rsidR="00E31BA1" w:rsidRPr="006B3EAF" w:rsidRDefault="00E31BA1" w:rsidP="009034B6">
      <w:pPr>
        <w:pStyle w:val="Listaszerbekezds"/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 xml:space="preserve">Az Irányító Hatóság munkatársaival többkörös egyeztetésre került sor; a kommunikáció írásban és online megbeszélés formájában zajlott. Azt a tájékoztatást kaptuk, hogy az eddig már megkötött Támogatási Szerződések esetében egységesen egyoldalú szerződés módosításra kerül majd sor a közeljövőben, melynek keretében adatszolgáltatásra kérik fel a kedvezményezetteket a hiányzó új indikátorokra vonatkozóan. </w:t>
      </w:r>
    </w:p>
    <w:p w14:paraId="0CB9ADA4" w14:textId="77777777" w:rsidR="00E31BA1" w:rsidRPr="006B3EAF" w:rsidRDefault="00E31BA1" w:rsidP="00E1297E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sz w:val="24"/>
          <w:szCs w:val="24"/>
          <w:lang w:eastAsia="sv-SE"/>
        </w:rPr>
      </w:pPr>
      <w:r w:rsidRPr="006B3EAF">
        <w:rPr>
          <w:rFonts w:ascii="Times New Roman" w:hAnsi="Times New Roman" w:cs="Times New Roman"/>
          <w:sz w:val="24"/>
          <w:szCs w:val="24"/>
          <w:lang w:eastAsia="sv-SE"/>
        </w:rPr>
        <w:t>Továbbá kiegészítésre és aktualizálásra került a felhívások ütemezését tartalmazó táblázat is.</w:t>
      </w:r>
    </w:p>
    <w:p w14:paraId="4A471869" w14:textId="7461D884" w:rsidR="00E31BA1" w:rsidRPr="006B3EAF" w:rsidRDefault="00E31BA1" w:rsidP="00E1297E">
      <w:pPr>
        <w:pStyle w:val="Listaszerbekezds"/>
        <w:numPr>
          <w:ilvl w:val="0"/>
          <w:numId w:val="1"/>
        </w:numPr>
        <w:spacing w:after="120" w:line="240" w:lineRule="auto"/>
        <w:ind w:left="374" w:hanging="3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AF">
        <w:rPr>
          <w:rFonts w:ascii="Times New Roman" w:hAnsi="Times New Roman" w:cs="Times New Roman"/>
          <w:bCs/>
          <w:sz w:val="24"/>
          <w:szCs w:val="24"/>
        </w:rPr>
        <w:t xml:space="preserve">A fentiek alapján az </w:t>
      </w:r>
      <w:r w:rsidR="00280754">
        <w:rPr>
          <w:rFonts w:ascii="Times New Roman" w:hAnsi="Times New Roman" w:cs="Times New Roman"/>
          <w:bCs/>
          <w:sz w:val="24"/>
          <w:szCs w:val="24"/>
        </w:rPr>
        <w:t>E</w:t>
      </w:r>
      <w:r w:rsidRPr="006B3EAF">
        <w:rPr>
          <w:rFonts w:ascii="Times New Roman" w:hAnsi="Times New Roman" w:cs="Times New Roman"/>
          <w:bCs/>
          <w:sz w:val="24"/>
          <w:szCs w:val="24"/>
        </w:rPr>
        <w:t>lőzetes ITP szövege aktualizálásra, kiegészítésre került, a dokumentummal kapcsolatban az Irányító Hatóság a minőségbiztosítás folyamatát elvégezte. Az Irányító Hatóság 2023. március 23. napi visszajelzése alapján a dokumentumot megfelelőnek minősítették.</w:t>
      </w:r>
    </w:p>
    <w:p w14:paraId="248057F3" w14:textId="77777777" w:rsidR="00E31BA1" w:rsidRPr="006B3EAF" w:rsidRDefault="00E31BA1" w:rsidP="00E31BA1">
      <w:pPr>
        <w:tabs>
          <w:tab w:val="right" w:pos="9072"/>
        </w:tabs>
        <w:jc w:val="both"/>
        <w:rPr>
          <w:highlight w:val="yellow"/>
        </w:rPr>
      </w:pPr>
    </w:p>
    <w:p w14:paraId="6ABADD04" w14:textId="07D605DD" w:rsidR="00E31BA1" w:rsidRPr="006B3EAF" w:rsidRDefault="00E31BA1" w:rsidP="00E31BA1">
      <w:pPr>
        <w:jc w:val="both"/>
      </w:pPr>
      <w:r w:rsidRPr="006B3EAF">
        <w:lastRenderedPageBreak/>
        <w:t>Kérem a közgyűlést Hajdú-Bihar Vármegye Integrált Területi Program</w:t>
      </w:r>
      <w:r w:rsidR="005F13EE" w:rsidRPr="006B3EAF">
        <w:t>ja</w:t>
      </w:r>
      <w:r w:rsidRPr="006B3EAF">
        <w:t xml:space="preserve"> módosításának határozati javaslat szerinti elfogadására.</w:t>
      </w:r>
    </w:p>
    <w:p w14:paraId="1DBDD732" w14:textId="68BC4300" w:rsidR="00E31BA1" w:rsidRDefault="00E31BA1" w:rsidP="00E31BA1">
      <w:pPr>
        <w:tabs>
          <w:tab w:val="right" w:pos="9072"/>
        </w:tabs>
        <w:jc w:val="both"/>
        <w:rPr>
          <w:highlight w:val="yellow"/>
        </w:rPr>
      </w:pPr>
    </w:p>
    <w:p w14:paraId="19634B5E" w14:textId="77777777" w:rsidR="00280754" w:rsidRPr="006B3EAF" w:rsidRDefault="00280754" w:rsidP="00E31BA1">
      <w:pPr>
        <w:tabs>
          <w:tab w:val="right" w:pos="9072"/>
        </w:tabs>
        <w:jc w:val="both"/>
        <w:rPr>
          <w:highlight w:val="yellow"/>
        </w:rPr>
      </w:pPr>
    </w:p>
    <w:p w14:paraId="16F54C7E" w14:textId="77777777" w:rsidR="00E31BA1" w:rsidRPr="006B3EAF" w:rsidRDefault="00E31BA1" w:rsidP="00E31BA1">
      <w:pPr>
        <w:tabs>
          <w:tab w:val="right" w:pos="9072"/>
        </w:tabs>
        <w:jc w:val="both"/>
        <w:rPr>
          <w:b/>
          <w:bCs/>
          <w:u w:val="single"/>
        </w:rPr>
      </w:pPr>
      <w:r w:rsidRPr="006B3EAF">
        <w:rPr>
          <w:b/>
          <w:bCs/>
          <w:u w:val="single"/>
        </w:rPr>
        <w:t>HATÁROZATI JAVASLAT</w:t>
      </w:r>
    </w:p>
    <w:p w14:paraId="5B844182" w14:textId="77777777" w:rsidR="00E31BA1" w:rsidRPr="006B3EAF" w:rsidRDefault="00E31BA1" w:rsidP="00E31BA1">
      <w:pPr>
        <w:pStyle w:val="lfej"/>
        <w:tabs>
          <w:tab w:val="clear" w:pos="4536"/>
        </w:tabs>
        <w:jc w:val="both"/>
      </w:pPr>
    </w:p>
    <w:p w14:paraId="7BD1F9DB" w14:textId="7C4A24FF" w:rsidR="00E31BA1" w:rsidRPr="006B3EAF" w:rsidRDefault="00E31BA1" w:rsidP="00E31BA1">
      <w:pPr>
        <w:jc w:val="both"/>
        <w:rPr>
          <w:highlight w:val="yellow"/>
        </w:rPr>
      </w:pPr>
      <w:r w:rsidRPr="006B3EAF">
        <w:t>Hajdú-Bihar Vármegye Önkormányzatának Közgyűlése a 2021-2027 programozási időszakban az egyes európai uniós alapokból származó támogatások felhasználásának rendjéről szóló 256/2021. (V. 18.) Korm. rendelet 68.§ (5) pontjában biztosított jogkörében eljárva, figyelemmel a 2/2021. (VII. 9.), valamint a 63/2022. (V. 27.) határozat</w:t>
      </w:r>
      <w:r w:rsidR="00BF116E">
        <w:t>ai</w:t>
      </w:r>
      <w:r w:rsidRPr="006B3EAF">
        <w:t xml:space="preserve">ban foglaltakra </w:t>
      </w:r>
    </w:p>
    <w:p w14:paraId="416B3A66" w14:textId="77777777" w:rsidR="00E31BA1" w:rsidRPr="006B3EAF" w:rsidRDefault="00E31BA1" w:rsidP="00E31BA1">
      <w:pPr>
        <w:jc w:val="both"/>
        <w:rPr>
          <w:highlight w:val="yellow"/>
        </w:rPr>
      </w:pPr>
    </w:p>
    <w:p w14:paraId="49AC2E00" w14:textId="2966DFDC" w:rsidR="00E31BA1" w:rsidRPr="006B3EAF" w:rsidRDefault="00E31BA1" w:rsidP="00E31BA1">
      <w:pPr>
        <w:jc w:val="both"/>
      </w:pPr>
      <w:r w:rsidRPr="006B3EAF">
        <w:t>1./ elfogadja Hajdú-Bihar Vármegye Integrált Területi Programja 2021-</w:t>
      </w:r>
      <w:r w:rsidR="00BF116E">
        <w:t>20</w:t>
      </w:r>
      <w:r w:rsidRPr="006B3EAF">
        <w:t xml:space="preserve">27 (ITP) módosított szöveges változatát az 1. melléklet, valamint az ITP-hez kapcsolódó táblázatokat a 2. melléklet szerint. </w:t>
      </w:r>
    </w:p>
    <w:p w14:paraId="6D6D92C2" w14:textId="77777777" w:rsidR="00E31BA1" w:rsidRPr="006B3EAF" w:rsidRDefault="00E31BA1" w:rsidP="00E31BA1">
      <w:pPr>
        <w:jc w:val="both"/>
      </w:pPr>
    </w:p>
    <w:p w14:paraId="1FA417BC" w14:textId="77777777" w:rsidR="00E31BA1" w:rsidRPr="006B3EAF" w:rsidRDefault="00E31BA1" w:rsidP="00E31BA1">
      <w:pPr>
        <w:jc w:val="both"/>
      </w:pPr>
      <w:r w:rsidRPr="006B3EAF">
        <w:t>2./ A közgyűlés felkéri elnökét, hogy gondoskodjon az 1./ pont szerinti döntésnek a Miniszterelnökség Területfejlesztési Programok Végrehajtásáért Felelős Helyettes Államtitkársága, illetve az Irányító Hatóság részére történő megküldéséről.</w:t>
      </w:r>
    </w:p>
    <w:p w14:paraId="752F597E" w14:textId="77777777" w:rsidR="00E31BA1" w:rsidRPr="006B3EAF" w:rsidRDefault="00E31BA1" w:rsidP="00E31BA1">
      <w:pPr>
        <w:pStyle w:val="Szvegtrzs"/>
      </w:pPr>
    </w:p>
    <w:p w14:paraId="34891A94" w14:textId="158B6581" w:rsidR="00E31BA1" w:rsidRPr="006B3EAF" w:rsidRDefault="00E31BA1" w:rsidP="00E31BA1">
      <w:pPr>
        <w:jc w:val="both"/>
        <w:rPr>
          <w:rFonts w:eastAsia="Calibri"/>
          <w:lang w:eastAsia="en-US"/>
        </w:rPr>
      </w:pPr>
      <w:r w:rsidRPr="006B3EAF">
        <w:rPr>
          <w:rFonts w:eastAsia="Calibri"/>
          <w:b/>
          <w:bCs/>
          <w:u w:val="single"/>
          <w:lang w:eastAsia="en-US"/>
        </w:rPr>
        <w:t>Végrehajtásért felelős:</w:t>
      </w:r>
      <w:r w:rsidRPr="006B3EAF">
        <w:rPr>
          <w:rFonts w:eastAsia="Calibri"/>
          <w:lang w:eastAsia="en-US"/>
        </w:rPr>
        <w:t xml:space="preserve"> </w:t>
      </w:r>
      <w:r w:rsidRPr="006B3EAF">
        <w:rPr>
          <w:rFonts w:eastAsia="Calibri"/>
          <w:lang w:eastAsia="en-US"/>
        </w:rPr>
        <w:tab/>
        <w:t xml:space="preserve">Pajna Zoltán, a </w:t>
      </w:r>
      <w:r w:rsidR="003A69A2">
        <w:rPr>
          <w:rFonts w:eastAsia="Calibri"/>
          <w:lang w:eastAsia="en-US"/>
        </w:rPr>
        <w:t>vár</w:t>
      </w:r>
      <w:r w:rsidRPr="006B3EAF">
        <w:rPr>
          <w:rFonts w:eastAsia="Calibri"/>
          <w:lang w:eastAsia="en-US"/>
        </w:rPr>
        <w:t>megyei közgyűlés elnöke</w:t>
      </w:r>
    </w:p>
    <w:p w14:paraId="0ACD7783" w14:textId="6C4039F4" w:rsidR="00E31BA1" w:rsidRPr="006B3EAF" w:rsidRDefault="00E31BA1" w:rsidP="00E31BA1">
      <w:pPr>
        <w:jc w:val="both"/>
        <w:rPr>
          <w:rFonts w:eastAsia="Calibri"/>
          <w:lang w:eastAsia="en-US"/>
        </w:rPr>
      </w:pPr>
      <w:r w:rsidRPr="006B3EAF">
        <w:rPr>
          <w:rFonts w:eastAsia="Calibri"/>
          <w:b/>
          <w:bCs/>
          <w:u w:val="single"/>
          <w:lang w:eastAsia="en-US"/>
        </w:rPr>
        <w:t>Határidő:</w:t>
      </w:r>
      <w:r w:rsidRPr="006B3EAF">
        <w:rPr>
          <w:rFonts w:eastAsia="Calibri"/>
          <w:b/>
          <w:bCs/>
          <w:lang w:eastAsia="en-US"/>
        </w:rPr>
        <w:tab/>
      </w:r>
      <w:r w:rsidRPr="006B3EAF">
        <w:rPr>
          <w:rFonts w:eastAsia="Calibri"/>
          <w:b/>
          <w:bCs/>
          <w:lang w:eastAsia="en-US"/>
        </w:rPr>
        <w:tab/>
      </w:r>
      <w:r w:rsidRPr="006B3EAF">
        <w:rPr>
          <w:rFonts w:eastAsia="Calibri"/>
          <w:b/>
          <w:bCs/>
          <w:lang w:eastAsia="en-US"/>
        </w:rPr>
        <w:tab/>
      </w:r>
      <w:r w:rsidR="00240FC6" w:rsidRPr="006B3EAF">
        <w:rPr>
          <w:rFonts w:eastAsia="Calibri"/>
          <w:lang w:eastAsia="en-US"/>
        </w:rPr>
        <w:t>azonnal</w:t>
      </w:r>
    </w:p>
    <w:p w14:paraId="076E849B" w14:textId="77777777" w:rsidR="00E31BA1" w:rsidRPr="006B3EAF" w:rsidRDefault="00E31BA1" w:rsidP="00E31BA1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35E1E1A3" w14:textId="77777777" w:rsidR="00E31BA1" w:rsidRPr="006B3EAF" w:rsidRDefault="00E31BA1" w:rsidP="00E31BA1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3599EDF3" w14:textId="2F84E94A" w:rsidR="00E31BA1" w:rsidRPr="006B3EAF" w:rsidRDefault="00E31BA1" w:rsidP="00E31BA1">
      <w:pPr>
        <w:tabs>
          <w:tab w:val="right" w:pos="9072"/>
        </w:tabs>
        <w:jc w:val="both"/>
        <w:rPr>
          <w:bCs/>
        </w:rPr>
      </w:pPr>
      <w:r w:rsidRPr="006B3EAF">
        <w:rPr>
          <w:bCs/>
        </w:rPr>
        <w:t>Debrecen, 2023. márc</w:t>
      </w:r>
      <w:r w:rsidR="00560863" w:rsidRPr="006B3EAF">
        <w:rPr>
          <w:bCs/>
        </w:rPr>
        <w:t>ius 24.</w:t>
      </w:r>
    </w:p>
    <w:p w14:paraId="6D4A64E8" w14:textId="77777777" w:rsidR="00E31BA1" w:rsidRPr="006B3EAF" w:rsidRDefault="00E31BA1" w:rsidP="00E31BA1">
      <w:pPr>
        <w:tabs>
          <w:tab w:val="right" w:pos="9072"/>
        </w:tabs>
        <w:jc w:val="both"/>
        <w:rPr>
          <w:bCs/>
          <w:highlight w:val="yellow"/>
        </w:rPr>
      </w:pPr>
    </w:p>
    <w:p w14:paraId="5A0E0C1E" w14:textId="77777777" w:rsidR="00E31BA1" w:rsidRPr="006B3EAF" w:rsidRDefault="00E31BA1" w:rsidP="00E31BA1">
      <w:pPr>
        <w:tabs>
          <w:tab w:val="right" w:pos="9072"/>
        </w:tabs>
        <w:jc w:val="both"/>
        <w:rPr>
          <w:bCs/>
        </w:rPr>
      </w:pPr>
    </w:p>
    <w:p w14:paraId="67F3D435" w14:textId="77777777" w:rsidR="00E31BA1" w:rsidRPr="006B3EAF" w:rsidRDefault="00E31BA1" w:rsidP="00E31BA1">
      <w:pPr>
        <w:jc w:val="both"/>
        <w:rPr>
          <w:b/>
          <w:bCs/>
        </w:rPr>
      </w:pP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  <w:t>Pajna Zoltán</w:t>
      </w:r>
    </w:p>
    <w:p w14:paraId="1020D205" w14:textId="77777777" w:rsidR="00E31BA1" w:rsidRPr="006B3EAF" w:rsidRDefault="00E31BA1" w:rsidP="00E31BA1">
      <w:pPr>
        <w:jc w:val="both"/>
        <w:rPr>
          <w:b/>
          <w:bCs/>
        </w:rPr>
      </w:pP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  <w:t xml:space="preserve">     elnök</w:t>
      </w:r>
    </w:p>
    <w:p w14:paraId="5625B859" w14:textId="77777777" w:rsidR="00E31BA1" w:rsidRPr="006B3EAF" w:rsidRDefault="00E31BA1" w:rsidP="00E31BA1">
      <w:pPr>
        <w:tabs>
          <w:tab w:val="right" w:pos="9072"/>
        </w:tabs>
        <w:jc w:val="both"/>
        <w:rPr>
          <w:bCs/>
        </w:rPr>
      </w:pPr>
    </w:p>
    <w:p w14:paraId="001E0075" w14:textId="77777777" w:rsidR="00E31BA1" w:rsidRPr="006B3EAF" w:rsidRDefault="00E31BA1" w:rsidP="00E31BA1">
      <w:pPr>
        <w:tabs>
          <w:tab w:val="right" w:pos="9072"/>
        </w:tabs>
        <w:jc w:val="both"/>
      </w:pPr>
    </w:p>
    <w:p w14:paraId="1A043EFB" w14:textId="77777777" w:rsidR="00E31BA1" w:rsidRPr="006B3EAF" w:rsidRDefault="00E31BA1" w:rsidP="00E31BA1">
      <w:pPr>
        <w:tabs>
          <w:tab w:val="right" w:pos="9072"/>
        </w:tabs>
        <w:jc w:val="both"/>
      </w:pPr>
      <w:r w:rsidRPr="006B3EAF">
        <w:t>Az előterjesztés a törvényességi követelményeknek megfelel:</w:t>
      </w:r>
    </w:p>
    <w:p w14:paraId="2FF0D8AF" w14:textId="77777777" w:rsidR="00E31BA1" w:rsidRPr="006B3EAF" w:rsidRDefault="00E31BA1" w:rsidP="00E31BA1">
      <w:pPr>
        <w:tabs>
          <w:tab w:val="right" w:pos="9072"/>
        </w:tabs>
        <w:jc w:val="both"/>
      </w:pPr>
    </w:p>
    <w:p w14:paraId="45B58DF1" w14:textId="77777777" w:rsidR="00E31BA1" w:rsidRPr="006B3EAF" w:rsidRDefault="00E31BA1" w:rsidP="00E31BA1">
      <w:pPr>
        <w:tabs>
          <w:tab w:val="right" w:pos="9072"/>
        </w:tabs>
        <w:jc w:val="both"/>
      </w:pPr>
    </w:p>
    <w:p w14:paraId="611336D5" w14:textId="77777777" w:rsidR="00E31BA1" w:rsidRPr="006B3EAF" w:rsidRDefault="00E31BA1" w:rsidP="00E31BA1">
      <w:pPr>
        <w:tabs>
          <w:tab w:val="right" w:pos="9072"/>
        </w:tabs>
        <w:jc w:val="both"/>
      </w:pPr>
      <w:r w:rsidRPr="006B3EAF">
        <w:t>Dr. Dobi Csaba</w:t>
      </w:r>
    </w:p>
    <w:p w14:paraId="392B72E1" w14:textId="77777777" w:rsidR="00E31BA1" w:rsidRPr="006B3EAF" w:rsidRDefault="00E31BA1" w:rsidP="00E31BA1">
      <w:pPr>
        <w:jc w:val="both"/>
        <w:rPr>
          <w:b/>
          <w:bCs/>
          <w:u w:val="single"/>
        </w:rPr>
      </w:pPr>
      <w:r w:rsidRPr="006B3EAF">
        <w:t xml:space="preserve">      jegyző</w:t>
      </w:r>
      <w:r w:rsidRPr="006B3EAF">
        <w:rPr>
          <w:b/>
          <w:bCs/>
          <w:u w:val="single"/>
        </w:rPr>
        <w:t xml:space="preserve"> </w:t>
      </w:r>
    </w:p>
    <w:p w14:paraId="52E2F1FC" w14:textId="77777777" w:rsidR="00E31BA1" w:rsidRPr="006B3EAF" w:rsidRDefault="00E31BA1" w:rsidP="00E31BA1"/>
    <w:p w14:paraId="676A3EFD" w14:textId="77777777" w:rsidR="00E31BA1" w:rsidRPr="006B3EAF" w:rsidRDefault="00E31BA1" w:rsidP="00E31BA1"/>
    <w:p w14:paraId="71FF6612" w14:textId="77777777" w:rsidR="00E31BA1" w:rsidRPr="006B3EAF" w:rsidRDefault="00E31BA1" w:rsidP="00E31BA1"/>
    <w:p w14:paraId="3F24609C" w14:textId="77777777" w:rsidR="00FA7782" w:rsidRPr="006B3EAF" w:rsidRDefault="00FA7782"/>
    <w:sectPr w:rsidR="00FA7782" w:rsidRPr="006B3EAF" w:rsidSect="002B19CE"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2E04" w14:textId="77777777" w:rsidR="001D2B77" w:rsidRDefault="00920D00">
      <w:r>
        <w:separator/>
      </w:r>
    </w:p>
  </w:endnote>
  <w:endnote w:type="continuationSeparator" w:id="0">
    <w:p w14:paraId="72D79ED1" w14:textId="77777777" w:rsidR="001D2B77" w:rsidRDefault="0092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122571"/>
      <w:docPartObj>
        <w:docPartGallery w:val="Page Numbers (Bottom of Page)"/>
        <w:docPartUnique/>
      </w:docPartObj>
    </w:sdtPr>
    <w:sdtEndPr/>
    <w:sdtContent>
      <w:p w14:paraId="5CD64644" w14:textId="77777777" w:rsidR="00B65231" w:rsidRDefault="00A33F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35283DC" w14:textId="77777777" w:rsidR="00B65231" w:rsidRDefault="008224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774396"/>
      <w:docPartObj>
        <w:docPartGallery w:val="Page Numbers (Bottom of Page)"/>
        <w:docPartUnique/>
      </w:docPartObj>
    </w:sdtPr>
    <w:sdtEndPr/>
    <w:sdtContent>
      <w:p w14:paraId="0F071890" w14:textId="77777777" w:rsidR="00F46E9A" w:rsidRDefault="00A33F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E461538" w14:textId="77777777" w:rsidR="00F46E9A" w:rsidRDefault="008224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D23D" w14:textId="77777777" w:rsidR="001D2B77" w:rsidRDefault="00920D00">
      <w:r>
        <w:separator/>
      </w:r>
    </w:p>
  </w:footnote>
  <w:footnote w:type="continuationSeparator" w:id="0">
    <w:p w14:paraId="1357F7CE" w14:textId="77777777" w:rsidR="001D2B77" w:rsidRDefault="0092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B079" w14:textId="77777777" w:rsidR="00B65231" w:rsidRDefault="008224D3">
    <w:pPr>
      <w:pStyle w:val="lfej"/>
    </w:pPr>
  </w:p>
  <w:p w14:paraId="7AB5F6A8" w14:textId="77777777" w:rsidR="00B65231" w:rsidRDefault="008224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4681" w14:textId="77777777" w:rsidR="00F46E9A" w:rsidRDefault="008224D3">
    <w:pPr>
      <w:pStyle w:val="lfej"/>
    </w:pPr>
  </w:p>
  <w:p w14:paraId="458A7CEF" w14:textId="77777777" w:rsidR="00F46E9A" w:rsidRDefault="00822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5FD8"/>
    <w:multiLevelType w:val="hybridMultilevel"/>
    <w:tmpl w:val="4F167F82"/>
    <w:lvl w:ilvl="0" w:tplc="C23633A6">
      <w:start w:val="1"/>
      <w:numFmt w:val="bullet"/>
      <w:lvlText w:val=""/>
      <w:lvlJc w:val="left"/>
      <w:pPr>
        <w:ind w:left="2091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" w15:restartNumberingAfterBreak="0">
    <w:nsid w:val="1A07318E"/>
    <w:multiLevelType w:val="hybridMultilevel"/>
    <w:tmpl w:val="B972F5CA"/>
    <w:lvl w:ilvl="0" w:tplc="FFFFFFFF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FD2C1AF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947C4"/>
    <w:multiLevelType w:val="hybridMultilevel"/>
    <w:tmpl w:val="98EADDF0"/>
    <w:lvl w:ilvl="0" w:tplc="C49405FC">
      <w:start w:val="1"/>
      <w:numFmt w:val="lowerLetter"/>
      <w:lvlText w:val="%1.)"/>
      <w:lvlJc w:val="left"/>
      <w:pPr>
        <w:ind w:left="1080" w:hanging="360"/>
      </w:pPr>
      <w:rPr>
        <w:rFonts w:hint="default"/>
        <w:i w:val="0"/>
        <w:iCs/>
      </w:rPr>
    </w:lvl>
    <w:lvl w:ilvl="1" w:tplc="6B8C4FA8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A75D7"/>
    <w:multiLevelType w:val="hybridMultilevel"/>
    <w:tmpl w:val="A8D0D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1A5E"/>
    <w:multiLevelType w:val="hybridMultilevel"/>
    <w:tmpl w:val="BB5E85AE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5C90B97"/>
    <w:multiLevelType w:val="hybridMultilevel"/>
    <w:tmpl w:val="AC805F0E"/>
    <w:lvl w:ilvl="0" w:tplc="040E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3CFB"/>
    <w:multiLevelType w:val="hybridMultilevel"/>
    <w:tmpl w:val="009CE1A0"/>
    <w:lvl w:ilvl="0" w:tplc="74E03C0C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74F8"/>
    <w:multiLevelType w:val="hybridMultilevel"/>
    <w:tmpl w:val="78E686BA"/>
    <w:lvl w:ilvl="0" w:tplc="AD623582">
      <w:start w:val="1"/>
      <w:numFmt w:val="lowerLetter"/>
      <w:lvlText w:val="%1.)"/>
      <w:lvlJc w:val="left"/>
      <w:pPr>
        <w:ind w:left="1080" w:hanging="360"/>
      </w:pPr>
      <w:rPr>
        <w:rFonts w:hint="default"/>
        <w:i w:val="0"/>
        <w:iCs/>
      </w:rPr>
    </w:lvl>
    <w:lvl w:ilvl="1" w:tplc="FFFFFFFF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B53A6"/>
    <w:multiLevelType w:val="hybridMultilevel"/>
    <w:tmpl w:val="A09C22C2"/>
    <w:lvl w:ilvl="0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626763D3"/>
    <w:multiLevelType w:val="multilevel"/>
    <w:tmpl w:val="41222E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" w15:restartNumberingAfterBreak="0">
    <w:nsid w:val="689E489E"/>
    <w:multiLevelType w:val="hybridMultilevel"/>
    <w:tmpl w:val="2E9A2892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621A3"/>
    <w:multiLevelType w:val="hybridMultilevel"/>
    <w:tmpl w:val="552CE5E0"/>
    <w:lvl w:ilvl="0" w:tplc="FFFFFFFF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55C099C"/>
    <w:multiLevelType w:val="hybridMultilevel"/>
    <w:tmpl w:val="4F0ABFDA"/>
    <w:lvl w:ilvl="0" w:tplc="040E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  <w:i w:val="0"/>
        <w:iCs/>
      </w:rPr>
    </w:lvl>
    <w:lvl w:ilvl="1" w:tplc="FFFFFFFF">
      <w:numFmt w:val="bullet"/>
      <w:lvlText w:val=""/>
      <w:lvlJc w:val="left"/>
      <w:pPr>
        <w:ind w:left="1815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157765152">
    <w:abstractNumId w:val="6"/>
  </w:num>
  <w:num w:numId="2" w16cid:durableId="928273731">
    <w:abstractNumId w:val="2"/>
  </w:num>
  <w:num w:numId="3" w16cid:durableId="1169294012">
    <w:abstractNumId w:val="1"/>
  </w:num>
  <w:num w:numId="4" w16cid:durableId="419834374">
    <w:abstractNumId w:val="9"/>
  </w:num>
  <w:num w:numId="5" w16cid:durableId="1507403621">
    <w:abstractNumId w:val="0"/>
  </w:num>
  <w:num w:numId="6" w16cid:durableId="1967927956">
    <w:abstractNumId w:val="3"/>
  </w:num>
  <w:num w:numId="7" w16cid:durableId="565845777">
    <w:abstractNumId w:val="5"/>
  </w:num>
  <w:num w:numId="8" w16cid:durableId="2014067080">
    <w:abstractNumId w:val="7"/>
  </w:num>
  <w:num w:numId="9" w16cid:durableId="1586837165">
    <w:abstractNumId w:val="12"/>
  </w:num>
  <w:num w:numId="10" w16cid:durableId="1220090229">
    <w:abstractNumId w:val="4"/>
  </w:num>
  <w:num w:numId="11" w16cid:durableId="1142428677">
    <w:abstractNumId w:val="11"/>
  </w:num>
  <w:num w:numId="12" w16cid:durableId="1181822240">
    <w:abstractNumId w:val="8"/>
  </w:num>
  <w:num w:numId="13" w16cid:durableId="239678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1"/>
    <w:rsid w:val="00027F57"/>
    <w:rsid w:val="000329B3"/>
    <w:rsid w:val="00033A81"/>
    <w:rsid w:val="00057770"/>
    <w:rsid w:val="000E6C81"/>
    <w:rsid w:val="001731E7"/>
    <w:rsid w:val="001864B4"/>
    <w:rsid w:val="001877C4"/>
    <w:rsid w:val="001D2B77"/>
    <w:rsid w:val="001F00CC"/>
    <w:rsid w:val="001F6353"/>
    <w:rsid w:val="001F6ED4"/>
    <w:rsid w:val="00240FC6"/>
    <w:rsid w:val="00280754"/>
    <w:rsid w:val="003A69A2"/>
    <w:rsid w:val="003A7462"/>
    <w:rsid w:val="00436FD6"/>
    <w:rsid w:val="004912A9"/>
    <w:rsid w:val="00560863"/>
    <w:rsid w:val="005C1A23"/>
    <w:rsid w:val="005C58B9"/>
    <w:rsid w:val="005F13EE"/>
    <w:rsid w:val="00605D53"/>
    <w:rsid w:val="00626424"/>
    <w:rsid w:val="00675082"/>
    <w:rsid w:val="006B3EAF"/>
    <w:rsid w:val="006D3447"/>
    <w:rsid w:val="0072197D"/>
    <w:rsid w:val="00754356"/>
    <w:rsid w:val="007E3B5D"/>
    <w:rsid w:val="007F0B96"/>
    <w:rsid w:val="008224D3"/>
    <w:rsid w:val="00823964"/>
    <w:rsid w:val="0084211D"/>
    <w:rsid w:val="009034B6"/>
    <w:rsid w:val="00920D00"/>
    <w:rsid w:val="00982853"/>
    <w:rsid w:val="009E575A"/>
    <w:rsid w:val="00A33F8D"/>
    <w:rsid w:val="00AE3CB2"/>
    <w:rsid w:val="00B45299"/>
    <w:rsid w:val="00BF116E"/>
    <w:rsid w:val="00CB7DF6"/>
    <w:rsid w:val="00CE109E"/>
    <w:rsid w:val="00D06F8E"/>
    <w:rsid w:val="00D1668C"/>
    <w:rsid w:val="00DF0D4B"/>
    <w:rsid w:val="00E1297E"/>
    <w:rsid w:val="00E31BA1"/>
    <w:rsid w:val="00E35BF7"/>
    <w:rsid w:val="00EE4EB5"/>
    <w:rsid w:val="00F163DB"/>
    <w:rsid w:val="00F71FFB"/>
    <w:rsid w:val="00FA7782"/>
    <w:rsid w:val="00FB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C93"/>
  <w15:chartTrackingRefBased/>
  <w15:docId w15:val="{A9DE8250-ECC2-4785-8864-8CD7198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qFormat/>
    <w:rsid w:val="00E3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34"/>
    <w:qFormat/>
    <w:rsid w:val="00E31B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E31B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31BA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31BA1"/>
    <w:pPr>
      <w:widowControl w:val="0"/>
      <w:tabs>
        <w:tab w:val="center" w:pos="4536"/>
        <w:tab w:val="right" w:pos="9072"/>
      </w:tabs>
    </w:pPr>
    <w:rPr>
      <w:kern w:val="2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31BA1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Szvegtrzs">
    <w:name w:val="Body Text"/>
    <w:aliases w:val="Standard paragraph,bt,Body Text - Level 2,normabeh,Body"/>
    <w:basedOn w:val="Norml"/>
    <w:link w:val="SzvegtrzsChar"/>
    <w:rsid w:val="00E31BA1"/>
    <w:pPr>
      <w:jc w:val="both"/>
    </w:pPr>
  </w:style>
  <w:style w:type="character" w:customStyle="1" w:styleId="SzvegtrzsChar">
    <w:name w:val="Szövegtörzs Char"/>
    <w:aliases w:val="Standard paragraph Char,bt Char,Body Text - Level 2 Char,normabeh Char,Body Char"/>
    <w:basedOn w:val="Bekezdsalapbettpusa"/>
    <w:link w:val="Szvegtrzs"/>
    <w:rsid w:val="00E31B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E31BA1"/>
    <w:rPr>
      <w:rFonts w:ascii="Calibri" w:eastAsia="Times New Roman" w:hAnsi="Calibri" w:cs="Calibri"/>
    </w:rPr>
  </w:style>
  <w:style w:type="paragraph" w:customStyle="1" w:styleId="Default">
    <w:name w:val="Default"/>
    <w:rsid w:val="00E31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31B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1B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1B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C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kormany.hu/uploads/sheets/f/f4/f4c/f4ce5e9a7618d2ed03472782e0c37f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12</Pages>
  <Words>3665</Words>
  <Characters>25289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CzarEszter</cp:lastModifiedBy>
  <cp:revision>52</cp:revision>
  <dcterms:created xsi:type="dcterms:W3CDTF">2023-03-24T07:21:00Z</dcterms:created>
  <dcterms:modified xsi:type="dcterms:W3CDTF">2023-03-24T14:41:00Z</dcterms:modified>
</cp:coreProperties>
</file>