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14A43" w:rsidRPr="00E85592" w14:paraId="0A9BA781" w14:textId="77777777" w:rsidTr="005C3FD3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6296696D" w14:textId="77777777" w:rsidR="00D14A43" w:rsidRPr="00E85592" w:rsidRDefault="00D14A43" w:rsidP="005C3FD3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7DC8612" wp14:editId="72103A7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3F576260" w14:textId="77777777" w:rsidR="00D14A43" w:rsidRPr="00E85592" w:rsidRDefault="00D14A43" w:rsidP="005C3FD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1665C64F" w14:textId="77777777" w:rsidR="00D14A43" w:rsidRPr="00E85592" w:rsidRDefault="00D14A43" w:rsidP="005C3FD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59757879" w14:textId="77777777" w:rsidR="00D14A43" w:rsidRPr="00E85592" w:rsidRDefault="00D14A43" w:rsidP="005C3FD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1075C8C6" w14:textId="77777777" w:rsidR="00D14A43" w:rsidRPr="00E85592" w:rsidRDefault="00D14A43" w:rsidP="00D14A43">
      <w:pPr>
        <w:jc w:val="both"/>
      </w:pPr>
    </w:p>
    <w:p w14:paraId="11A3FD4B" w14:textId="77777777" w:rsidR="00D14A43" w:rsidRPr="00E85592" w:rsidRDefault="00D14A43" w:rsidP="00D14A43"/>
    <w:p w14:paraId="5B38E3E9" w14:textId="77777777" w:rsidR="00D14A43" w:rsidRPr="00E85592" w:rsidRDefault="00D14A43" w:rsidP="00D14A43">
      <w:pPr>
        <w:jc w:val="right"/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D14A43" w:rsidRPr="00E85592" w14:paraId="68679FCA" w14:textId="77777777" w:rsidTr="005C3FD3">
        <w:tc>
          <w:tcPr>
            <w:tcW w:w="8645" w:type="dxa"/>
            <w:shd w:val="clear" w:color="auto" w:fill="auto"/>
          </w:tcPr>
          <w:p w14:paraId="308C4E4B" w14:textId="77777777" w:rsidR="00D14A43" w:rsidRPr="00E85592" w:rsidRDefault="00D14A43" w:rsidP="005C3FD3">
            <w:pPr>
              <w:jc w:val="center"/>
              <w:rPr>
                <w:b/>
                <w:sz w:val="32"/>
                <w:szCs w:val="32"/>
              </w:rPr>
            </w:pPr>
            <w:r w:rsidRPr="00E85592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7" w:type="dxa"/>
            <w:shd w:val="clear" w:color="auto" w:fill="auto"/>
          </w:tcPr>
          <w:p w14:paraId="11A45543" w14:textId="77777777" w:rsidR="00D14A43" w:rsidRPr="00E85592" w:rsidRDefault="00D14A43" w:rsidP="005C3F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85592">
              <w:rPr>
                <w:b/>
                <w:sz w:val="32"/>
                <w:szCs w:val="32"/>
              </w:rPr>
              <w:t>.</w:t>
            </w:r>
          </w:p>
        </w:tc>
      </w:tr>
    </w:tbl>
    <w:p w14:paraId="6A69E7EA" w14:textId="77777777" w:rsidR="00D14A43" w:rsidRPr="00E85592" w:rsidRDefault="00D14A43" w:rsidP="00D14A43">
      <w:pPr>
        <w:jc w:val="center"/>
        <w:rPr>
          <w:b/>
          <w:sz w:val="28"/>
          <w:szCs w:val="28"/>
          <w:highlight w:val="yellow"/>
        </w:rPr>
      </w:pPr>
    </w:p>
    <w:p w14:paraId="7BF2EC8C" w14:textId="77777777" w:rsidR="00D14A43" w:rsidRPr="00E85592" w:rsidRDefault="00D14A43" w:rsidP="00D14A43">
      <w:pPr>
        <w:jc w:val="center"/>
        <w:rPr>
          <w:b/>
          <w:spacing w:val="50"/>
          <w:sz w:val="28"/>
          <w:szCs w:val="28"/>
          <w:highlight w:val="yellow"/>
        </w:rPr>
      </w:pPr>
    </w:p>
    <w:p w14:paraId="3169B052" w14:textId="77777777" w:rsidR="00D14A43" w:rsidRPr="00E85592" w:rsidRDefault="00D14A43" w:rsidP="00D14A43">
      <w:pPr>
        <w:jc w:val="center"/>
        <w:rPr>
          <w:b/>
          <w:spacing w:val="50"/>
          <w:sz w:val="28"/>
          <w:szCs w:val="28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953"/>
      </w:tblGrid>
      <w:tr w:rsidR="00D14A43" w:rsidRPr="00A32821" w14:paraId="4BE4868E" w14:textId="77777777" w:rsidTr="005C3FD3">
        <w:trPr>
          <w:trHeight w:val="933"/>
          <w:jc w:val="center"/>
        </w:trPr>
        <w:tc>
          <w:tcPr>
            <w:tcW w:w="3119" w:type="dxa"/>
            <w:vAlign w:val="center"/>
            <w:hideMark/>
          </w:tcPr>
          <w:p w14:paraId="3E9DFE33" w14:textId="77777777" w:rsidR="00D14A43" w:rsidRPr="00A32821" w:rsidRDefault="00D14A43" w:rsidP="005C3FD3">
            <w:pPr>
              <w:jc w:val="both"/>
              <w:rPr>
                <w:b/>
                <w:spacing w:val="50"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5953" w:type="dxa"/>
            <w:vAlign w:val="center"/>
            <w:hideMark/>
          </w:tcPr>
          <w:p w14:paraId="4E2DBE26" w14:textId="6C2654A0" w:rsidR="00D14A43" w:rsidRPr="00A32821" w:rsidRDefault="00D14A43" w:rsidP="005C3FD3">
            <w:pPr>
              <w:jc w:val="both"/>
              <w:rPr>
                <w:b/>
                <w:spacing w:val="50"/>
                <w:sz w:val="26"/>
                <w:szCs w:val="26"/>
              </w:rPr>
            </w:pPr>
            <w:r w:rsidRPr="00D30EDA">
              <w:rPr>
                <w:sz w:val="26"/>
                <w:szCs w:val="26"/>
              </w:rPr>
              <w:t xml:space="preserve">Bulcsu László, a </w:t>
            </w:r>
            <w:r w:rsidR="00BE5FE6">
              <w:rPr>
                <w:sz w:val="26"/>
                <w:szCs w:val="26"/>
              </w:rPr>
              <w:t>K</w:t>
            </w:r>
            <w:r w:rsidRPr="00D30EDA">
              <w:rPr>
                <w:sz w:val="26"/>
                <w:szCs w:val="26"/>
              </w:rPr>
              <w:t>özgyűlés alelnöke</w:t>
            </w:r>
          </w:p>
        </w:tc>
      </w:tr>
      <w:tr w:rsidR="00D14A43" w:rsidRPr="00A32821" w14:paraId="424D9DD0" w14:textId="77777777" w:rsidTr="005C3FD3">
        <w:trPr>
          <w:trHeight w:val="851"/>
          <w:jc w:val="center"/>
        </w:trPr>
        <w:tc>
          <w:tcPr>
            <w:tcW w:w="3119" w:type="dxa"/>
            <w:vAlign w:val="center"/>
            <w:hideMark/>
          </w:tcPr>
          <w:p w14:paraId="190ACBC2" w14:textId="77777777" w:rsidR="00D14A43" w:rsidRPr="00A32821" w:rsidRDefault="00D14A43" w:rsidP="005C3FD3">
            <w:pPr>
              <w:jc w:val="both"/>
              <w:rPr>
                <w:b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5953" w:type="dxa"/>
            <w:vAlign w:val="center"/>
          </w:tcPr>
          <w:p w14:paraId="4E37809B" w14:textId="77777777" w:rsidR="00D14A43" w:rsidRPr="00A32821" w:rsidRDefault="00D14A43" w:rsidP="005C3FD3">
            <w:pPr>
              <w:jc w:val="both"/>
              <w:rPr>
                <w:sz w:val="26"/>
                <w:szCs w:val="26"/>
              </w:rPr>
            </w:pPr>
            <w:r w:rsidRPr="004A5EB3">
              <w:rPr>
                <w:rFonts w:eastAsia="Calibri" w:cs="Calibri"/>
                <w:sz w:val="26"/>
                <w:szCs w:val="26"/>
              </w:rPr>
              <w:t>Tájékoztató a vármegyei szakképzés helyzetéről</w:t>
            </w:r>
          </w:p>
        </w:tc>
      </w:tr>
      <w:tr w:rsidR="00D14A43" w:rsidRPr="00A32821" w14:paraId="0B55D21F" w14:textId="77777777" w:rsidTr="005C3FD3">
        <w:trPr>
          <w:trHeight w:val="1668"/>
          <w:jc w:val="center"/>
        </w:trPr>
        <w:tc>
          <w:tcPr>
            <w:tcW w:w="3119" w:type="dxa"/>
            <w:vAlign w:val="center"/>
          </w:tcPr>
          <w:p w14:paraId="36AC16CB" w14:textId="77777777" w:rsidR="00D14A43" w:rsidRPr="00A32821" w:rsidRDefault="00D14A43" w:rsidP="005C3F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5953" w:type="dxa"/>
            <w:vAlign w:val="center"/>
          </w:tcPr>
          <w:p w14:paraId="77121252" w14:textId="0262EB4C" w:rsidR="00D14A43" w:rsidRPr="00A32821" w:rsidRDefault="00D14A43" w:rsidP="005C3FD3">
            <w:pPr>
              <w:pStyle w:val="Listaszerbekezds"/>
              <w:numPr>
                <w:ilvl w:val="0"/>
                <w:numId w:val="2"/>
              </w:numPr>
              <w:tabs>
                <w:tab w:val="right" w:pos="9072"/>
              </w:tabs>
              <w:ind w:left="357" w:hanging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A32821">
              <w:rPr>
                <w:sz w:val="26"/>
                <w:szCs w:val="26"/>
              </w:rPr>
              <w:t>Berettyóújfalui Szakképzési Centrum tájékoztatója</w:t>
            </w:r>
            <w:r>
              <w:rPr>
                <w:sz w:val="26"/>
                <w:szCs w:val="26"/>
              </w:rPr>
              <w:t xml:space="preserve"> </w:t>
            </w:r>
            <w:r w:rsidRPr="00A32821">
              <w:rPr>
                <w:sz w:val="26"/>
                <w:szCs w:val="26"/>
              </w:rPr>
              <w:t xml:space="preserve">(Előterjesztés </w:t>
            </w:r>
            <w:r w:rsidR="00BE5FE6">
              <w:rPr>
                <w:sz w:val="26"/>
                <w:szCs w:val="26"/>
              </w:rPr>
              <w:t>1</w:t>
            </w:r>
            <w:r w:rsidRPr="00A32821">
              <w:rPr>
                <w:sz w:val="26"/>
                <w:szCs w:val="26"/>
              </w:rPr>
              <w:t>. melléklete)</w:t>
            </w:r>
          </w:p>
        </w:tc>
      </w:tr>
      <w:tr w:rsidR="00D14A43" w:rsidRPr="00A32821" w14:paraId="195AEB11" w14:textId="77777777" w:rsidTr="005C3FD3">
        <w:trPr>
          <w:trHeight w:val="851"/>
          <w:jc w:val="center"/>
        </w:trPr>
        <w:tc>
          <w:tcPr>
            <w:tcW w:w="3119" w:type="dxa"/>
            <w:vAlign w:val="center"/>
            <w:hideMark/>
          </w:tcPr>
          <w:p w14:paraId="766AAC53" w14:textId="7F0049D5" w:rsidR="00D14A43" w:rsidRPr="00A32821" w:rsidRDefault="00D14A43" w:rsidP="005C3FD3">
            <w:pPr>
              <w:jc w:val="both"/>
              <w:rPr>
                <w:b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Készített</w:t>
            </w:r>
            <w:r w:rsidR="00CB337B">
              <w:rPr>
                <w:b/>
                <w:sz w:val="26"/>
                <w:szCs w:val="26"/>
              </w:rPr>
              <w:t>ék</w:t>
            </w:r>
            <w:r w:rsidRPr="00A3282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7561EDC6" w14:textId="77777777" w:rsidR="00D14A43" w:rsidRDefault="00D14A43" w:rsidP="005C3F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Czapp Zsuzsa</w:t>
            </w:r>
          </w:p>
          <w:p w14:paraId="48EBCE6C" w14:textId="77777777" w:rsidR="00D14A43" w:rsidRPr="00A32821" w:rsidRDefault="00D14A43" w:rsidP="005C3F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Somlyai-Ozsváth Laura Katalin</w:t>
            </w:r>
          </w:p>
        </w:tc>
      </w:tr>
      <w:tr w:rsidR="00D14A43" w:rsidRPr="00A32821" w14:paraId="23958F6A" w14:textId="77777777" w:rsidTr="005C3FD3">
        <w:trPr>
          <w:trHeight w:val="851"/>
          <w:jc w:val="center"/>
        </w:trPr>
        <w:tc>
          <w:tcPr>
            <w:tcW w:w="3119" w:type="dxa"/>
            <w:vAlign w:val="center"/>
            <w:hideMark/>
          </w:tcPr>
          <w:p w14:paraId="4FF898E2" w14:textId="77777777" w:rsidR="00D14A43" w:rsidRPr="00A32821" w:rsidRDefault="00D14A43" w:rsidP="005C3FD3">
            <w:pPr>
              <w:rPr>
                <w:b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5953" w:type="dxa"/>
            <w:vAlign w:val="center"/>
          </w:tcPr>
          <w:p w14:paraId="0F0DE84D" w14:textId="77777777" w:rsidR="00D14A43" w:rsidRPr="00A32821" w:rsidRDefault="00D14A43" w:rsidP="005C3FD3">
            <w:pPr>
              <w:jc w:val="both"/>
              <w:rPr>
                <w:sz w:val="26"/>
                <w:szCs w:val="26"/>
              </w:rPr>
            </w:pPr>
            <w:r w:rsidRPr="00A32821">
              <w:rPr>
                <w:sz w:val="26"/>
                <w:szCs w:val="26"/>
              </w:rPr>
              <w:t xml:space="preserve">Fejlesztési, Tervezési és Stratégiai Bizottság </w:t>
            </w:r>
          </w:p>
        </w:tc>
      </w:tr>
    </w:tbl>
    <w:p w14:paraId="3BABAD40" w14:textId="77777777" w:rsidR="00D14A43" w:rsidRDefault="00D14A43" w:rsidP="00D14A43">
      <w:r>
        <w:br w:type="page"/>
      </w:r>
    </w:p>
    <w:p w14:paraId="44223EA0" w14:textId="77777777" w:rsidR="0028508D" w:rsidRDefault="0028508D" w:rsidP="0028508D">
      <w:pPr>
        <w:rPr>
          <w:b/>
        </w:rPr>
      </w:pPr>
      <w:r>
        <w:rPr>
          <w:b/>
        </w:rPr>
        <w:lastRenderedPageBreak/>
        <w:t>Tisztelt Közgyűlés!</w:t>
      </w:r>
    </w:p>
    <w:p w14:paraId="70C959D0" w14:textId="77777777" w:rsidR="0028508D" w:rsidRDefault="0028508D" w:rsidP="0028508D">
      <w:pPr>
        <w:jc w:val="both"/>
      </w:pPr>
    </w:p>
    <w:p w14:paraId="77876AA8" w14:textId="3847AF18" w:rsidR="0028508D" w:rsidRDefault="00F67D63" w:rsidP="0028508D">
      <w:pPr>
        <w:jc w:val="both"/>
      </w:pPr>
      <w:r>
        <w:t>A gazdaságban és a munkaerőpiacon gyorsuló ütemben zajló technológiai változások ráirányították a figyelmet a munkaerőpiac igényeit gyorsan lekövet</w:t>
      </w:r>
      <w:r w:rsidR="005D311B">
        <w:t xml:space="preserve">ő </w:t>
      </w:r>
      <w:r>
        <w:t xml:space="preserve">képzési rendszer iránti gazdasági igényre. Ezt felismerve kezdődött meg a 2010-es évektől a szakképzési rendszer átalakításának folyamata, melynek elsődleges célja </w:t>
      </w:r>
      <w:r w:rsidRPr="00F67D63">
        <w:t>a szakképzési feladat- és intézményrendszer, valamint a szakképzés szerkezetének átalakítása, a gazdasági igényekkel összehangolt, versenyképes iskolai rendszerű szakképzés biztosítása, az intézményi finanszírozás hatékonyabb megvalósítása és az állami vagyonnal való felelős gazdálkodás</w:t>
      </w:r>
      <w:r>
        <w:t>.</w:t>
      </w:r>
      <w:r w:rsidR="005D311B">
        <w:t xml:space="preserve"> </w:t>
      </w:r>
      <w:r>
        <w:t xml:space="preserve">Az </w:t>
      </w:r>
      <w:r w:rsidR="0028508D">
        <w:t>átalakult szakképzés rendszer</w:t>
      </w:r>
      <w:r>
        <w:t xml:space="preserve"> eredményeként</w:t>
      </w:r>
      <w:r w:rsidR="0028508D">
        <w:t xml:space="preserve"> </w:t>
      </w:r>
      <w:r w:rsidR="0028508D" w:rsidRPr="005F5734">
        <w:t>2015. július 1-től</w:t>
      </w:r>
      <w:r w:rsidR="0028508D">
        <w:t xml:space="preserve"> Hajdú-Bihar </w:t>
      </w:r>
      <w:r w:rsidR="005F240B">
        <w:t>v</w:t>
      </w:r>
      <w:r w:rsidR="00D708E7">
        <w:t>ár</w:t>
      </w:r>
      <w:r w:rsidR="0028508D">
        <w:t>megyében a megváltozott struktúra szerint két szakképzési centrum jött létre</w:t>
      </w:r>
      <w:r>
        <w:t>, melyek</w:t>
      </w:r>
      <w:r w:rsidR="0028508D">
        <w:t>:</w:t>
      </w:r>
    </w:p>
    <w:p w14:paraId="2113B707" w14:textId="08157271" w:rsidR="0028508D" w:rsidRPr="00C33305" w:rsidRDefault="00F67D63" w:rsidP="0028508D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 </w:t>
      </w:r>
      <w:r w:rsidR="0028508D">
        <w:rPr>
          <w:bCs/>
        </w:rPr>
        <w:t>Debreceni Szakképzési Centrum</w:t>
      </w:r>
      <w:r w:rsidR="00D708E7">
        <w:rPr>
          <w:bCs/>
        </w:rPr>
        <w:t>,</w:t>
      </w:r>
      <w:r>
        <w:rPr>
          <w:bCs/>
        </w:rPr>
        <w:t xml:space="preserve"> valamint </w:t>
      </w:r>
    </w:p>
    <w:p w14:paraId="0C615519" w14:textId="77447AD3" w:rsidR="0028508D" w:rsidRPr="00C33305" w:rsidRDefault="00F67D63" w:rsidP="0028508D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28508D" w:rsidRPr="00C33305">
        <w:t>Berettyóújfalui Szakképzési Centrum</w:t>
      </w:r>
      <w:r w:rsidR="00D708E7">
        <w:t>.</w:t>
      </w:r>
    </w:p>
    <w:p w14:paraId="0D0A537C" w14:textId="77777777" w:rsidR="0028508D" w:rsidRPr="00E418C7" w:rsidRDefault="0028508D" w:rsidP="0028508D">
      <w:pPr>
        <w:jc w:val="both"/>
      </w:pPr>
    </w:p>
    <w:p w14:paraId="38394531" w14:textId="5F684089" w:rsidR="0028508D" w:rsidRDefault="00350821" w:rsidP="0028508D">
      <w:pPr>
        <w:jc w:val="both"/>
      </w:pPr>
      <w:r w:rsidRPr="00B66366">
        <w:t xml:space="preserve">Az immár 8 éve működő szakképzési centrumok jelentős szerepet töltenek be a </w:t>
      </w:r>
      <w:r w:rsidR="000A14CA">
        <w:t>térség</w:t>
      </w:r>
      <w:r w:rsidR="000A14CA" w:rsidRPr="00B66366">
        <w:t xml:space="preserve"> </w:t>
      </w:r>
      <w:r w:rsidR="008573FE" w:rsidRPr="00B66366">
        <w:t>oktatás</w:t>
      </w:r>
      <w:r w:rsidR="000A14CA">
        <w:t xml:space="preserve">ában, melyre szintén </w:t>
      </w:r>
      <w:r w:rsidR="003C37F2" w:rsidRPr="003C37F2">
        <w:t xml:space="preserve">negatívan hat az elöregedés, </w:t>
      </w:r>
      <w:r w:rsidR="000A14CA">
        <w:t xml:space="preserve">a </w:t>
      </w:r>
      <w:r w:rsidR="003C37F2" w:rsidRPr="003C37F2">
        <w:t xml:space="preserve">létszámfogyás és </w:t>
      </w:r>
      <w:r w:rsidR="000A14CA">
        <w:t xml:space="preserve">az </w:t>
      </w:r>
      <w:r w:rsidR="003C37F2" w:rsidRPr="003C37F2">
        <w:t>elvándorlás</w:t>
      </w:r>
      <w:r w:rsidR="000A14CA">
        <w:t>. A</w:t>
      </w:r>
      <w:r w:rsidR="00154586" w:rsidRPr="00B66366">
        <w:t xml:space="preserve"> vármegye gazdaságának </w:t>
      </w:r>
      <w:r w:rsidR="00B66366" w:rsidRPr="00B66366">
        <w:t>duális jellegét tekintve párhuzamosan működik egy modern (jellemzően külföldi, vagy vegyesvállalati tulajdonszerkezetű élvonalbeli technikát, technológiát használó), globális piacon versengő szegmens és a hagyományos, magyar (sok esetben tőkeszegény, egyéni- és mikrovállalkozás) gazdasági szereplőkből álló rész.</w:t>
      </w:r>
      <w:r w:rsidR="003C37F2">
        <w:t xml:space="preserve"> </w:t>
      </w:r>
      <w:r w:rsidR="000A14CA">
        <w:t xml:space="preserve">A </w:t>
      </w:r>
      <w:r w:rsidR="003C37F2">
        <w:t>digitalizáció, mint a gazdaság teljesítményét alapvetően meghatározó jelenség</w:t>
      </w:r>
      <w:r w:rsidR="000A14CA">
        <w:t>,</w:t>
      </w:r>
      <w:r w:rsidR="003C37F2">
        <w:t xml:space="preserve"> szintén kiemelt szerepet tölt be a centrumok működésében, amelyhez kapcsolódóan elvárás az intézmények estében a Digitális Oktatási Stratégia (továbbiakban: DOS) által támasztott követelményeknek való megfelelés biztosítása.</w:t>
      </w:r>
      <w:r w:rsidR="00A7106F">
        <w:t xml:space="preserve"> Az új vizsgáztatási szabályoknak megfelelően az interaktív </w:t>
      </w:r>
      <w:r w:rsidR="007327E4">
        <w:t xml:space="preserve">vizsgák számítógépek előtt </w:t>
      </w:r>
      <w:r w:rsidR="001A1000">
        <w:t xml:space="preserve">szakmánként, </w:t>
      </w:r>
      <w:r w:rsidR="007327E4">
        <w:t xml:space="preserve">egyszerre egyidőben </w:t>
      </w:r>
      <w:r w:rsidR="00D708E7">
        <w:t xml:space="preserve">kerülnek megrendezésre </w:t>
      </w:r>
      <w:r w:rsidR="007327E4">
        <w:t xml:space="preserve">az egész országban. </w:t>
      </w:r>
      <w:r w:rsidR="00A7106F">
        <w:t xml:space="preserve">A kihívásokra a </w:t>
      </w:r>
      <w:r w:rsidR="0028508D" w:rsidRPr="00B66366">
        <w:t>szakképzési intézményrendszer hatékonyabb, összehangoltabb működésé</w:t>
      </w:r>
      <w:r w:rsidR="00A7106F">
        <w:t>t biztosít</w:t>
      </w:r>
      <w:r w:rsidR="000A14CA">
        <w:t xml:space="preserve">ó vármegyei centrumok létrejötte </w:t>
      </w:r>
      <w:r w:rsidR="0028508D" w:rsidRPr="00B66366">
        <w:t>szorosabbá tette az intézmények közötti kapcsolatot, valamint gyorsabb és rugalmasabb reagálási lehetőséget biztosít a gazdasági igények változására</w:t>
      </w:r>
      <w:r w:rsidR="000A14CA">
        <w:t xml:space="preserve">. </w:t>
      </w:r>
      <w:r w:rsidR="00EE0755">
        <w:t>K</w:t>
      </w:r>
      <w:r w:rsidR="007327E4">
        <w:t xml:space="preserve">iemelt szerepe jut </w:t>
      </w:r>
      <w:r w:rsidR="00EE0755">
        <w:t xml:space="preserve">továbbá </w:t>
      </w:r>
      <w:r w:rsidR="00D708E7">
        <w:t xml:space="preserve">a </w:t>
      </w:r>
      <w:r w:rsidR="005D311B">
        <w:t>c</w:t>
      </w:r>
      <w:r w:rsidR="00D708E7">
        <w:t xml:space="preserve">entrumoknak </w:t>
      </w:r>
      <w:r w:rsidR="007327E4">
        <w:t xml:space="preserve">a szakképzett humán erőforrás biztosításában. </w:t>
      </w:r>
    </w:p>
    <w:p w14:paraId="5714117C" w14:textId="77777777" w:rsidR="0081222C" w:rsidRDefault="0081222C" w:rsidP="0081222C">
      <w:pPr>
        <w:jc w:val="both"/>
      </w:pPr>
      <w:r>
        <w:t xml:space="preserve">A napirend előkészítése kapcsán előzetesen megkeresésre került a Debreceni Szakképzési Centrum és Berettyóújfalui Szakképzési Centrum. </w:t>
      </w:r>
    </w:p>
    <w:p w14:paraId="37EFA10F" w14:textId="77777777" w:rsidR="0081222C" w:rsidRDefault="0081222C" w:rsidP="0081222C">
      <w:pPr>
        <w:jc w:val="both"/>
      </w:pPr>
    </w:p>
    <w:p w14:paraId="7F027C36" w14:textId="77777777" w:rsidR="0028508D" w:rsidRDefault="0081222C" w:rsidP="0081222C">
      <w:pPr>
        <w:jc w:val="both"/>
      </w:pPr>
      <w:r>
        <w:t>A megkeresést követően az alábbi tájékoztatások érkeztek:</w:t>
      </w:r>
    </w:p>
    <w:p w14:paraId="1D641390" w14:textId="77777777" w:rsidR="0081222C" w:rsidRDefault="0081222C" w:rsidP="0081222C">
      <w:pPr>
        <w:jc w:val="both"/>
        <w:rPr>
          <w:b/>
          <w:bCs/>
        </w:rPr>
      </w:pPr>
    </w:p>
    <w:p w14:paraId="234F3D2D" w14:textId="77777777" w:rsidR="0028508D" w:rsidRPr="005F664B" w:rsidRDefault="0028508D" w:rsidP="0028508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31EAB43A" w14:textId="77777777" w:rsidR="0028508D" w:rsidRPr="00BE5FE6" w:rsidRDefault="0028508D" w:rsidP="0028508D">
      <w:pPr>
        <w:jc w:val="center"/>
        <w:rPr>
          <w:b/>
          <w:bCs/>
        </w:rPr>
      </w:pPr>
      <w:r w:rsidRPr="00BE5FE6">
        <w:rPr>
          <w:b/>
          <w:bCs/>
        </w:rPr>
        <w:t xml:space="preserve">Debreceni Szakképzési Centrum </w:t>
      </w:r>
    </w:p>
    <w:p w14:paraId="65011C7A" w14:textId="5780AAAA" w:rsidR="00F1273F" w:rsidRDefault="00F1273F" w:rsidP="00F1273F">
      <w:pPr>
        <w:jc w:val="both"/>
        <w:rPr>
          <w:bCs/>
        </w:rPr>
      </w:pPr>
      <w:r w:rsidRPr="00BE5FE6">
        <w:rPr>
          <w:bCs/>
        </w:rPr>
        <w:t xml:space="preserve">Az előterjesztés </w:t>
      </w:r>
      <w:r w:rsidR="00BE5FE6" w:rsidRPr="00BE5FE6">
        <w:rPr>
          <w:bCs/>
        </w:rPr>
        <w:t xml:space="preserve">kiküldésének időpontjáig a tájékoztató anyag az intézmény részéről akadályoztatás miatt nem került Önkormányzatunk részére megküldésre, ezért az előterjesztői kiegészítés formájában </w:t>
      </w:r>
      <w:r w:rsidRPr="00BE5FE6">
        <w:rPr>
          <w:bCs/>
        </w:rPr>
        <w:t xml:space="preserve">kerül </w:t>
      </w:r>
      <w:r w:rsidR="005D311B" w:rsidRPr="00BE5FE6">
        <w:rPr>
          <w:bCs/>
        </w:rPr>
        <w:t xml:space="preserve">megküldésre </w:t>
      </w:r>
      <w:r w:rsidRPr="00BE5FE6">
        <w:rPr>
          <w:bCs/>
        </w:rPr>
        <w:t>a közgyűlési tagok részére.</w:t>
      </w:r>
      <w:r>
        <w:rPr>
          <w:bCs/>
        </w:rPr>
        <w:t xml:space="preserve"> </w:t>
      </w:r>
    </w:p>
    <w:p w14:paraId="76C991D4" w14:textId="77777777" w:rsidR="00BE5FE6" w:rsidRPr="00666405" w:rsidRDefault="00BE5FE6" w:rsidP="00F1273F">
      <w:pPr>
        <w:jc w:val="both"/>
        <w:rPr>
          <w:bCs/>
        </w:rPr>
      </w:pPr>
    </w:p>
    <w:p w14:paraId="1804CC0D" w14:textId="77777777" w:rsidR="0028508D" w:rsidRDefault="0028508D" w:rsidP="0028508D">
      <w:pPr>
        <w:jc w:val="center"/>
        <w:rPr>
          <w:b/>
        </w:rPr>
      </w:pPr>
      <w:r>
        <w:rPr>
          <w:b/>
        </w:rPr>
        <w:t>II.</w:t>
      </w:r>
    </w:p>
    <w:p w14:paraId="0B14D7C8" w14:textId="77777777" w:rsidR="0028508D" w:rsidRPr="00B66366" w:rsidRDefault="0028508D" w:rsidP="0028508D">
      <w:pPr>
        <w:jc w:val="center"/>
        <w:rPr>
          <w:b/>
        </w:rPr>
      </w:pPr>
      <w:r w:rsidRPr="00B66366">
        <w:rPr>
          <w:b/>
        </w:rPr>
        <w:t>Berettyóújfalui Szakképzési Centrum</w:t>
      </w:r>
    </w:p>
    <w:p w14:paraId="39A6CAF4" w14:textId="0DBB604A" w:rsidR="0017271C" w:rsidRPr="00B66366" w:rsidRDefault="0028508D" w:rsidP="0028508D">
      <w:pPr>
        <w:jc w:val="both"/>
      </w:pPr>
      <w:r w:rsidRPr="00B66366">
        <w:t xml:space="preserve">A Berettyóújfalui Szakképzési Centrum </w:t>
      </w:r>
      <w:r w:rsidR="00E404B7" w:rsidRPr="00B66366">
        <w:t xml:space="preserve">a vármegye </w:t>
      </w:r>
      <w:r w:rsidR="00D708E7">
        <w:t>7</w:t>
      </w:r>
      <w:r w:rsidR="0017271C">
        <w:t xml:space="preserve"> járásában</w:t>
      </w:r>
      <w:r w:rsidR="00E71948">
        <w:t xml:space="preserve">, </w:t>
      </w:r>
      <w:r w:rsidR="00E404B7" w:rsidRPr="00B66366">
        <w:t xml:space="preserve">9 településén 12 </w:t>
      </w:r>
      <w:r w:rsidR="00E4572E">
        <w:t>tag</w:t>
      </w:r>
      <w:r w:rsidR="00E404B7" w:rsidRPr="00B66366">
        <w:t>intézmén</w:t>
      </w:r>
      <w:r w:rsidR="003155B3" w:rsidRPr="00B66366">
        <w:t>y</w:t>
      </w:r>
      <w:r w:rsidR="00D708E7">
        <w:t xml:space="preserve"> </w:t>
      </w:r>
      <w:r w:rsidR="00E71948">
        <w:t>27 telephelyének</w:t>
      </w:r>
      <w:r w:rsidR="003155B3" w:rsidRPr="00B66366">
        <w:t xml:space="preserve"> irányítását végzi. </w:t>
      </w:r>
    </w:p>
    <w:p w14:paraId="4EC4CE6D" w14:textId="77777777" w:rsidR="00C41FB7" w:rsidRDefault="00E71948" w:rsidP="00E71948">
      <w:pPr>
        <w:jc w:val="center"/>
      </w:pPr>
      <w:r>
        <w:rPr>
          <w:i/>
          <w:noProof/>
        </w:rPr>
        <w:lastRenderedPageBreak/>
        <w:drawing>
          <wp:inline distT="0" distB="0" distL="0" distR="0" wp14:anchorId="739F4CC7" wp14:editId="41516A00">
            <wp:extent cx="3667125" cy="301276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01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018FE" w14:textId="5891DDC7" w:rsidR="00E71948" w:rsidRPr="00FC3DF1" w:rsidRDefault="00E71948" w:rsidP="00E71948">
      <w:pPr>
        <w:pStyle w:val="Listaszerbekezds"/>
        <w:jc w:val="center"/>
        <w:rPr>
          <w:sz w:val="20"/>
          <w:szCs w:val="20"/>
        </w:rPr>
      </w:pPr>
      <w:r w:rsidRPr="00FC3DF1">
        <w:rPr>
          <w:sz w:val="20"/>
          <w:szCs w:val="20"/>
        </w:rPr>
        <w:t xml:space="preserve">1.sz. ábra: Berettyóújfalui Szakképzési Centrum tagintézményei a Hajdú-Bihar </w:t>
      </w:r>
      <w:r w:rsidR="00FA28A1">
        <w:rPr>
          <w:sz w:val="20"/>
          <w:szCs w:val="20"/>
        </w:rPr>
        <w:t>v</w:t>
      </w:r>
      <w:r w:rsidRPr="00FC3DF1">
        <w:rPr>
          <w:sz w:val="20"/>
          <w:szCs w:val="20"/>
        </w:rPr>
        <w:t>ármegye területén</w:t>
      </w:r>
    </w:p>
    <w:p w14:paraId="233BA99B" w14:textId="7A669A08" w:rsidR="00E71948" w:rsidRPr="00791495" w:rsidRDefault="00E71948" w:rsidP="00791495">
      <w:pPr>
        <w:pStyle w:val="Listaszerbekezds"/>
        <w:jc w:val="both"/>
        <w:rPr>
          <w:sz w:val="18"/>
          <w:szCs w:val="18"/>
        </w:rPr>
      </w:pPr>
      <w:r w:rsidRPr="00791495">
        <w:rPr>
          <w:sz w:val="18"/>
          <w:szCs w:val="18"/>
        </w:rPr>
        <w:t xml:space="preserve">(Forrás: BESZÁMOLÓ </w:t>
      </w:r>
      <w:r w:rsidR="00791495">
        <w:rPr>
          <w:sz w:val="18"/>
          <w:szCs w:val="18"/>
        </w:rPr>
        <w:t xml:space="preserve">a BSZC </w:t>
      </w:r>
      <w:r w:rsidRPr="00791495">
        <w:rPr>
          <w:sz w:val="18"/>
          <w:szCs w:val="18"/>
        </w:rPr>
        <w:t>2022.</w:t>
      </w:r>
      <w:r w:rsidR="00E06546" w:rsidRPr="00791495">
        <w:rPr>
          <w:sz w:val="18"/>
          <w:szCs w:val="18"/>
        </w:rPr>
        <w:t xml:space="preserve"> </w:t>
      </w:r>
      <w:r w:rsidRPr="00791495">
        <w:rPr>
          <w:sz w:val="18"/>
          <w:szCs w:val="18"/>
        </w:rPr>
        <w:t>évi tevékenységéről, a szakképzés aktuális helyzetéről és lehetőségéről)</w:t>
      </w:r>
    </w:p>
    <w:p w14:paraId="42E67759" w14:textId="77777777" w:rsidR="00E71948" w:rsidRPr="00791495" w:rsidRDefault="00E71948" w:rsidP="00791495">
      <w:pPr>
        <w:jc w:val="both"/>
        <w:rPr>
          <w:sz w:val="18"/>
          <w:szCs w:val="18"/>
        </w:rPr>
      </w:pPr>
    </w:p>
    <w:p w14:paraId="067DC47B" w14:textId="7D8E30CE" w:rsidR="0095758B" w:rsidRDefault="00E71948" w:rsidP="00E71948">
      <w:pPr>
        <w:jc w:val="both"/>
      </w:pPr>
      <w:r>
        <w:t>Az intézmények egymáshoz való elhelyezkedés</w:t>
      </w:r>
      <w:r w:rsidR="00E4572E">
        <w:t>e</w:t>
      </w:r>
      <w:r>
        <w:t xml:space="preserve"> és a Centrumtól való távolságuk nagy kihívást jelent</w:t>
      </w:r>
      <w:r w:rsidR="00A71103">
        <w:t xml:space="preserve"> a szervezet számára</w:t>
      </w:r>
      <w:r w:rsidR="00E4572E">
        <w:t xml:space="preserve">, </w:t>
      </w:r>
      <w:r w:rsidR="00A71103">
        <w:t>melyre tekintettel</w:t>
      </w:r>
      <w:r>
        <w:t xml:space="preserve"> kiemelt szerepet kap az intézmények önállósága</w:t>
      </w:r>
      <w:r w:rsidR="00E06546">
        <w:t>, a logisztika</w:t>
      </w:r>
      <w:r w:rsidR="00E4572E">
        <w:t>, valamint a</w:t>
      </w:r>
      <w:r w:rsidR="00E06546">
        <w:t xml:space="preserve"> digitalizáció</w:t>
      </w:r>
      <w:r w:rsidRPr="00E71948">
        <w:t xml:space="preserve"> a Centrum </w:t>
      </w:r>
      <w:r w:rsidR="00E06546">
        <w:t xml:space="preserve">működésében. </w:t>
      </w:r>
      <w:r w:rsidR="0095758B">
        <w:t xml:space="preserve">Az intézmények infrastruktúrális korszerűsítése </w:t>
      </w:r>
      <w:r w:rsidR="00A71103">
        <w:t>kapcsán az elmúlt időszakban</w:t>
      </w:r>
      <w:r w:rsidR="0095758B">
        <w:t xml:space="preserve"> kulcsszerep jutott </w:t>
      </w:r>
      <w:r w:rsidR="00A71103">
        <w:t xml:space="preserve">az </w:t>
      </w:r>
      <w:r w:rsidR="0095758B" w:rsidRPr="0095758B">
        <w:t>energiamegtakarítást szolgáló intézkedések</w:t>
      </w:r>
      <w:r w:rsidR="0095758B">
        <w:t xml:space="preserve"> megvalósításának</w:t>
      </w:r>
      <w:r w:rsidR="00E4572E">
        <w:t>,</w:t>
      </w:r>
      <w:r w:rsidR="0095758B">
        <w:t xml:space="preserve"> </w:t>
      </w:r>
      <w:r w:rsidR="00A71103">
        <w:t xml:space="preserve">így számos intézményben megvalósultak fejlesztések </w:t>
      </w:r>
      <w:r w:rsidR="0095758B">
        <w:t>n</w:t>
      </w:r>
      <w:r w:rsidR="0095758B" w:rsidRPr="0095758B">
        <w:t>yílászárók cseréje, fűtési rendszerek korszerűsítése, épületek hőszigetelése, kazáncserék</w:t>
      </w:r>
      <w:r w:rsidR="0095758B">
        <w:t xml:space="preserve"> és napelemes rendszerek telepítése révén.</w:t>
      </w:r>
    </w:p>
    <w:p w14:paraId="21E74FDE" w14:textId="706BE904" w:rsidR="0095758B" w:rsidRDefault="00A71103" w:rsidP="00E71948">
      <w:pPr>
        <w:jc w:val="both"/>
      </w:pPr>
      <w:r>
        <w:t>Az i</w:t>
      </w:r>
      <w:r w:rsidR="0095758B" w:rsidRPr="0095758B">
        <w:t>ntézményi eszközellátottság javítása céljából tanműhelyfejlesztések</w:t>
      </w:r>
      <w:r w:rsidR="00D708E7">
        <w:t>, –</w:t>
      </w:r>
      <w:r>
        <w:t xml:space="preserve"> </w:t>
      </w:r>
      <w:r w:rsidR="0095758B">
        <w:t>gépparkok megújítása</w:t>
      </w:r>
      <w:r>
        <w:t>,</w:t>
      </w:r>
      <w:r w:rsidR="0095758B">
        <w:t xml:space="preserve"> képzési struktúr</w:t>
      </w:r>
      <w:r>
        <w:t xml:space="preserve">ához illeszkedő </w:t>
      </w:r>
      <w:r w:rsidR="0095758B">
        <w:t>új tanműhelyek létrehozása</w:t>
      </w:r>
      <w:r>
        <w:t xml:space="preserve"> </w:t>
      </w:r>
      <w:r w:rsidR="00D708E7">
        <w:t>–</w:t>
      </w:r>
      <w:r w:rsidR="0095758B" w:rsidRPr="0095758B">
        <w:t xml:space="preserve">, valamint a szakmai vizsgák interaktív </w:t>
      </w:r>
      <w:r>
        <w:t>lebonyolítása</w:t>
      </w:r>
      <w:r w:rsidR="0095758B" w:rsidRPr="0095758B">
        <w:t xml:space="preserve"> érdekében informatikai fejlesztések</w:t>
      </w:r>
      <w:r w:rsidR="0095758B">
        <w:t xml:space="preserve"> valósultak meg</w:t>
      </w:r>
      <w:r w:rsidR="0095758B" w:rsidRPr="0095758B">
        <w:t xml:space="preserve">. </w:t>
      </w:r>
      <w:r>
        <w:t xml:space="preserve">A </w:t>
      </w:r>
      <w:r w:rsidR="0095758B">
        <w:t>hatékonyabb logisztika biztosítás</w:t>
      </w:r>
      <w:r>
        <w:t xml:space="preserve">a érdekében </w:t>
      </w:r>
      <w:r w:rsidRPr="0095758B">
        <w:t xml:space="preserve">kilenc fős kisbuszokkal </w:t>
      </w:r>
      <w:r w:rsidR="0095758B" w:rsidRPr="0095758B">
        <w:t xml:space="preserve">a gépjármű parkját </w:t>
      </w:r>
      <w:r>
        <w:t xml:space="preserve">is </w:t>
      </w:r>
      <w:r w:rsidR="0095758B" w:rsidRPr="0095758B">
        <w:t>folyamatosan fejleszti</w:t>
      </w:r>
      <w:r w:rsidRPr="00A71103">
        <w:t xml:space="preserve"> </w:t>
      </w:r>
      <w:r w:rsidRPr="0095758B">
        <w:t>a Centrum</w:t>
      </w:r>
      <w:r w:rsidR="0095758B">
        <w:t>.</w:t>
      </w:r>
    </w:p>
    <w:p w14:paraId="15C2A15F" w14:textId="2F1DA5C9" w:rsidR="00E06546" w:rsidRDefault="00E06546" w:rsidP="00E71948">
      <w:pPr>
        <w:jc w:val="both"/>
      </w:pPr>
      <w:r>
        <w:t xml:space="preserve">Az intézményekben </w:t>
      </w:r>
      <w:r w:rsidR="00296570">
        <w:t xml:space="preserve">a szakos ellátottság 100%-os, valamennyi iskolában a megfelelő végzettséggel és szakképzettséggel rendelkező oktatók végzik a nevelési-oktatási feladatok ellátását. </w:t>
      </w:r>
      <w:r w:rsidR="00DD4EA3">
        <w:t>A Centrum tagiskolái fejlesztendő</w:t>
      </w:r>
      <w:r w:rsidR="00A71103">
        <w:t>,</w:t>
      </w:r>
      <w:r w:rsidR="00DD4EA3">
        <w:t xml:space="preserve"> és komplex programmal fejlesztendő járásokban találhatóak</w:t>
      </w:r>
      <w:r w:rsidR="008D52E2">
        <w:t xml:space="preserve">, melyekben </w:t>
      </w:r>
      <w:r w:rsidR="00DD4EA3">
        <w:t>jellemzően a KKV szektor van jelen</w:t>
      </w:r>
      <w:r w:rsidR="008D52E2">
        <w:t>. Ezek számára teremtett</w:t>
      </w:r>
      <w:r w:rsidR="00A71103" w:rsidRPr="00AD2577">
        <w:rPr>
          <w:rFonts w:cstheme="minorHAnsi"/>
        </w:rPr>
        <w:t xml:space="preserve"> lehetőségeket </w:t>
      </w:r>
      <w:r w:rsidR="00A71103">
        <w:t>a</w:t>
      </w:r>
      <w:r w:rsidR="00DD4EA3" w:rsidRPr="00AD2577">
        <w:rPr>
          <w:rFonts w:cstheme="minorHAnsi"/>
        </w:rPr>
        <w:t>z utóbbi idő</w:t>
      </w:r>
      <w:r w:rsidR="00DD4EA3">
        <w:rPr>
          <w:rFonts w:cstheme="minorHAnsi"/>
        </w:rPr>
        <w:t>ben</w:t>
      </w:r>
      <w:r w:rsidR="00DD4EA3" w:rsidRPr="00AD2577">
        <w:rPr>
          <w:rFonts w:cstheme="minorHAnsi"/>
        </w:rPr>
        <w:t xml:space="preserve"> </w:t>
      </w:r>
      <w:r w:rsidR="00A71103">
        <w:rPr>
          <w:rFonts w:cstheme="minorHAnsi"/>
        </w:rPr>
        <w:t xml:space="preserve">a </w:t>
      </w:r>
      <w:r w:rsidR="00DD4EA3">
        <w:rPr>
          <w:rFonts w:cstheme="minorHAnsi"/>
        </w:rPr>
        <w:t>megyeszékhely</w:t>
      </w:r>
      <w:r w:rsidR="008D52E2">
        <w:rPr>
          <w:rFonts w:cstheme="minorHAnsi"/>
        </w:rPr>
        <w:t>re jellemző</w:t>
      </w:r>
      <w:r w:rsidR="00DD4EA3">
        <w:rPr>
          <w:rFonts w:cstheme="minorHAnsi"/>
        </w:rPr>
        <w:t xml:space="preserve"> nagyütemű fejlődés</w:t>
      </w:r>
      <w:r w:rsidR="008D52E2">
        <w:rPr>
          <w:rFonts w:cstheme="minorHAnsi"/>
        </w:rPr>
        <w:t xml:space="preserve">, és a </w:t>
      </w:r>
      <w:r w:rsidR="00DD4EA3" w:rsidRPr="00AD2577">
        <w:rPr>
          <w:rFonts w:cstheme="minorHAnsi"/>
        </w:rPr>
        <w:t xml:space="preserve">külföldi cégek körül kialakuló beszállítói hálózat. </w:t>
      </w:r>
      <w:r w:rsidR="008D52E2">
        <w:rPr>
          <w:rFonts w:cstheme="minorHAnsi"/>
        </w:rPr>
        <w:t xml:space="preserve">Duális partnerként a Centrumnak és </w:t>
      </w:r>
      <w:r w:rsidR="008D52E2" w:rsidRPr="00AD2577">
        <w:rPr>
          <w:rFonts w:cstheme="minorHAnsi"/>
        </w:rPr>
        <w:t>iskoláin</w:t>
      </w:r>
      <w:r w:rsidR="008D52E2">
        <w:rPr>
          <w:rFonts w:cstheme="minorHAnsi"/>
        </w:rPr>
        <w:t>kn</w:t>
      </w:r>
      <w:r w:rsidR="008D52E2" w:rsidRPr="00AD2577">
        <w:rPr>
          <w:rFonts w:cstheme="minorHAnsi"/>
        </w:rPr>
        <w:t>ak</w:t>
      </w:r>
      <w:r w:rsidR="008D52E2">
        <w:rPr>
          <w:rFonts w:cstheme="minorHAnsi"/>
        </w:rPr>
        <w:t xml:space="preserve"> </w:t>
      </w:r>
      <w:r w:rsidR="00DD4EA3">
        <w:rPr>
          <w:rFonts w:cstheme="minorHAnsi"/>
        </w:rPr>
        <w:t>rendkívül sok, közel 28</w:t>
      </w:r>
      <w:r w:rsidR="00DD4EA3" w:rsidRPr="00AD2577">
        <w:rPr>
          <w:rFonts w:cstheme="minorHAnsi"/>
        </w:rPr>
        <w:t>0 céggel va</w:t>
      </w:r>
      <w:r w:rsidR="00DD4EA3">
        <w:rPr>
          <w:rFonts w:cstheme="minorHAnsi"/>
        </w:rPr>
        <w:t>n kapcsolata.</w:t>
      </w:r>
      <w:r w:rsidR="00C76E93">
        <w:rPr>
          <w:rFonts w:cstheme="minorHAnsi"/>
        </w:rPr>
        <w:t xml:space="preserve"> Az együttműködések révén a képzési kínálat kialakításánál és a műhelyek fejlesztésénél is figyelembe</w:t>
      </w:r>
      <w:r w:rsidR="008D52E2">
        <w:rPr>
          <w:rFonts w:cstheme="minorHAnsi"/>
        </w:rPr>
        <w:t xml:space="preserve"> veszik </w:t>
      </w:r>
      <w:r w:rsidR="00C76E93">
        <w:rPr>
          <w:rFonts w:cstheme="minorHAnsi"/>
        </w:rPr>
        <w:t>a cégek által támasztott követelmények</w:t>
      </w:r>
      <w:r w:rsidR="008D52E2">
        <w:rPr>
          <w:rFonts w:cstheme="minorHAnsi"/>
        </w:rPr>
        <w:t>et</w:t>
      </w:r>
      <w:r w:rsidR="001A1000">
        <w:rPr>
          <w:rFonts w:cstheme="minorHAnsi"/>
        </w:rPr>
        <w:t xml:space="preserve">, illetve </w:t>
      </w:r>
      <w:r w:rsidR="00296570">
        <w:t xml:space="preserve">egyes speciális tantárgyak oktatására a versenyszférából hívnak meg tanárokat szakmai órák megtartására. </w:t>
      </w:r>
      <w:r w:rsidR="003C37F2">
        <w:t>Emellett a</w:t>
      </w:r>
      <w:r w:rsidR="00296570">
        <w:t xml:space="preserve"> szakképzésben résztvevő oktatók folyamatos képzése kiemelten fontos, ennek érdekében </w:t>
      </w:r>
      <w:r w:rsidR="003C37F2">
        <w:t xml:space="preserve">többek között a </w:t>
      </w:r>
      <w:r w:rsidR="00296570">
        <w:t xml:space="preserve">gazdasági partnercégeknél </w:t>
      </w:r>
      <w:r w:rsidR="003C37F2">
        <w:t>képzések szervezésére kerül sor, ahol a legmodernebb technológiákkal és eljárásokkal ismerkedhetnek meg</w:t>
      </w:r>
      <w:r w:rsidR="008D52E2">
        <w:t xml:space="preserve"> a diákok</w:t>
      </w:r>
      <w:r w:rsidR="003C37F2">
        <w:t xml:space="preserve">. </w:t>
      </w:r>
      <w:r w:rsidR="00296570">
        <w:t xml:space="preserve">A jól képzett oktatók és a duális partnerekkel történő együttműködés </w:t>
      </w:r>
      <w:r w:rsidR="003C37F2">
        <w:t xml:space="preserve">ad </w:t>
      </w:r>
      <w:r w:rsidR="00296570">
        <w:t xml:space="preserve">biztosítékot arra, hogy a tanulók </w:t>
      </w:r>
      <w:r w:rsidR="001A1000">
        <w:t xml:space="preserve">az </w:t>
      </w:r>
      <w:r w:rsidR="00296570">
        <w:t xml:space="preserve">elhelyezkedéséhez szükséges valamennyi készséget elsajátítsák. </w:t>
      </w:r>
    </w:p>
    <w:p w14:paraId="09DC283B" w14:textId="52F34E4A" w:rsidR="000C6A16" w:rsidRPr="000C6A16" w:rsidRDefault="00F7260A" w:rsidP="000C6A16">
      <w:pPr>
        <w:jc w:val="both"/>
      </w:pPr>
      <w:r>
        <w:t xml:space="preserve">A </w:t>
      </w:r>
      <w:r w:rsidR="008D52E2">
        <w:t xml:space="preserve">2022-es évben a </w:t>
      </w:r>
      <w:r>
        <w:t>BSZC intézményeiben is felkészültek a Digitális Oktatási Stratégiának megfelelő követelmények biztosítására. Az új vizsgáztatási szabályoknak megfelelően</w:t>
      </w:r>
      <w:r w:rsidR="000C6A16">
        <w:t xml:space="preserve"> </w:t>
      </w:r>
      <w:r w:rsidR="00376A74">
        <w:br/>
      </w:r>
      <w:r>
        <w:t xml:space="preserve">2023. júniusában sikeresen, hiba nélkül lezajlott az első interaktív vizsga időszak. A szakképzési törvénynek megfelelően a Berettyóújfalui Szakképzési Centrum </w:t>
      </w:r>
      <w:r w:rsidR="00376A74">
        <w:br/>
      </w:r>
      <w:r>
        <w:t>2021. július 1-</w:t>
      </w:r>
      <w:r w:rsidR="008D52E2">
        <w:t>j</w:t>
      </w:r>
      <w:r>
        <w:t>én megalapította a Berettóújfalui Szakmai Vizsgaközpontot, hogy a jövőben a szakmai és képesítő vizsgáit az intézmény keretein belül megszervezhesse.</w:t>
      </w:r>
      <w:r w:rsidR="000C6A16">
        <w:t xml:space="preserve"> Az első </w:t>
      </w:r>
      <w:r w:rsidR="000C6A16">
        <w:lastRenderedPageBreak/>
        <w:t>akkreditációs okirat megszerzésére 2022.</w:t>
      </w:r>
      <w:r w:rsidR="005F240B">
        <w:t xml:space="preserve"> </w:t>
      </w:r>
      <w:r w:rsidR="000C6A16">
        <w:t>04.</w:t>
      </w:r>
      <w:r w:rsidR="005F240B">
        <w:t xml:space="preserve"> </w:t>
      </w:r>
      <w:r w:rsidR="000C6A16">
        <w:t>28. napján került</w:t>
      </w:r>
      <w:r w:rsidR="00376A74">
        <w:t xml:space="preserve"> sor</w:t>
      </w:r>
      <w:r w:rsidR="000C6A16">
        <w:t xml:space="preserve">, </w:t>
      </w:r>
      <w:r w:rsidR="00376A74">
        <w:t>és ezt</w:t>
      </w:r>
      <w:r w:rsidR="000C6A16">
        <w:t xml:space="preserve"> követően kezdte meg vizsgáztatási tevékenységét. A Vizsgaközpont </w:t>
      </w:r>
      <w:r w:rsidR="000C6A16" w:rsidRPr="000C6A16">
        <w:t>szabványnak és a szakképzési törvényeknek megfelelő</w:t>
      </w:r>
      <w:r w:rsidR="000C6A16">
        <w:t xml:space="preserve"> </w:t>
      </w:r>
      <w:r w:rsidR="000C6A16" w:rsidRPr="000C6A16">
        <w:t>működését éves szinten vizsgálják</w:t>
      </w:r>
      <w:r w:rsidR="000C6A16">
        <w:t>, ez alapján</w:t>
      </w:r>
      <w:r w:rsidR="000C6A16" w:rsidRPr="000C6A16">
        <w:t xml:space="preserve"> 2022-es és 2023-as években is</w:t>
      </w:r>
      <w:r w:rsidR="000C6A16">
        <w:t xml:space="preserve"> fenntartják akkreditált státuszát</w:t>
      </w:r>
      <w:r w:rsidR="000C6A16" w:rsidRPr="000C6A16">
        <w:t xml:space="preserve">. </w:t>
      </w:r>
      <w:r w:rsidR="000C6A16">
        <w:t xml:space="preserve">A Vizsgaközpont jelenlegi szabályoknak megfelelően csak képesítő </w:t>
      </w:r>
      <w:r w:rsidR="00D708E7">
        <w:t>vizsgákat bonyolított le.</w:t>
      </w:r>
    </w:p>
    <w:p w14:paraId="469FA6C3" w14:textId="77777777" w:rsidR="00F7260A" w:rsidRPr="000C6A16" w:rsidRDefault="00F7260A" w:rsidP="000C6A16">
      <w:pPr>
        <w:jc w:val="both"/>
      </w:pPr>
      <w:r w:rsidRPr="000C6A16">
        <w:t>A Berettyóújfalui Szakképzési Centrum 3</w:t>
      </w:r>
      <w:r w:rsidR="00D708E7">
        <w:t>1</w:t>
      </w:r>
      <w:r w:rsidRPr="000C6A16">
        <w:t xml:space="preserve"> Képzési területre (KEOR) kapott miniszteri támogató engedélyt több ütemben: </w:t>
      </w:r>
    </w:p>
    <w:p w14:paraId="75CD5822" w14:textId="77777777" w:rsidR="00F7260A" w:rsidRPr="000C6A16" w:rsidRDefault="00F7260A" w:rsidP="000C6A16">
      <w:pPr>
        <w:pStyle w:val="Listaszerbekezds"/>
        <w:numPr>
          <w:ilvl w:val="0"/>
          <w:numId w:val="24"/>
        </w:numPr>
        <w:jc w:val="both"/>
      </w:pPr>
      <w:r w:rsidRPr="000C6A16">
        <w:t xml:space="preserve">első ütem: 2022. január 17-én beadott 12 KEOR csoport tekintetében 2022. április 28-án kapta meg a Vizsgaközpont az akkreditációs okiratot. </w:t>
      </w:r>
    </w:p>
    <w:p w14:paraId="61BB13A0" w14:textId="77777777" w:rsidR="00F7260A" w:rsidRPr="000C6A16" w:rsidRDefault="00F7260A" w:rsidP="000C6A16">
      <w:pPr>
        <w:pStyle w:val="Listaszerbekezds"/>
        <w:numPr>
          <w:ilvl w:val="0"/>
          <w:numId w:val="24"/>
        </w:numPr>
        <w:jc w:val="both"/>
      </w:pPr>
      <w:r w:rsidRPr="000C6A16">
        <w:t>második ütem: 2022. augusztus 31-én beadott további 19 KEOR csoport tekintetében 2022. december 08-án kapta meg a Vizsgaközpont az akkreditációs okiratot.</w:t>
      </w:r>
    </w:p>
    <w:p w14:paraId="60ECC3F4" w14:textId="77777777" w:rsidR="00F7260A" w:rsidRDefault="00F7260A" w:rsidP="000C6A16">
      <w:pPr>
        <w:jc w:val="both"/>
      </w:pPr>
      <w:r w:rsidRPr="000C6A16">
        <w:t xml:space="preserve">A Vizsgaközpont összességében 31 képzési területen végezhet vizsgáztatási tevékenységet, ez összesen jelenleg 112 szakma, 60 szakmairány, 34 résszakma és 195 szakképesítés vizsgáztatási jogosultságát foglalja magába. </w:t>
      </w:r>
    </w:p>
    <w:p w14:paraId="380656B0" w14:textId="77777777" w:rsidR="000C6A16" w:rsidRPr="000C6A16" w:rsidRDefault="000C6A16" w:rsidP="000C6A16">
      <w:pPr>
        <w:jc w:val="center"/>
      </w:pPr>
      <w:r w:rsidRPr="00AB54C2">
        <w:rPr>
          <w:rFonts w:cstheme="minorHAnsi"/>
          <w:noProof/>
        </w:rPr>
        <w:drawing>
          <wp:inline distT="0" distB="0" distL="0" distR="0" wp14:anchorId="6B5C57A4" wp14:editId="509B2005">
            <wp:extent cx="4405587" cy="27258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5587" cy="272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72D4" w14:textId="77777777" w:rsidR="00B408A0" w:rsidRPr="00F9196A" w:rsidRDefault="00B408A0" w:rsidP="00B408A0">
      <w:pPr>
        <w:pStyle w:val="Listaszerbekezds"/>
        <w:jc w:val="center"/>
        <w:rPr>
          <w:sz w:val="20"/>
          <w:szCs w:val="20"/>
        </w:rPr>
      </w:pPr>
      <w:r w:rsidRPr="00F9196A">
        <w:rPr>
          <w:sz w:val="20"/>
          <w:szCs w:val="20"/>
        </w:rPr>
        <w:t xml:space="preserve">2.sz. ábra: 2022. júniusától lebonyolított és folyamatban lévő vizsgák megoszlása képzési területenként </w:t>
      </w:r>
    </w:p>
    <w:p w14:paraId="1E9A2781" w14:textId="17E56AC4" w:rsidR="00B408A0" w:rsidRPr="00F9196A" w:rsidRDefault="00B408A0" w:rsidP="00B408A0">
      <w:pPr>
        <w:pStyle w:val="Listaszerbekezds"/>
        <w:jc w:val="center"/>
        <w:rPr>
          <w:sz w:val="18"/>
          <w:szCs w:val="18"/>
        </w:rPr>
      </w:pPr>
      <w:r w:rsidRPr="00F9196A">
        <w:rPr>
          <w:sz w:val="18"/>
          <w:szCs w:val="18"/>
        </w:rPr>
        <w:t xml:space="preserve">(Forrás: BESZÁMOLÓ </w:t>
      </w:r>
      <w:r w:rsidR="00F9196A" w:rsidRPr="00F9196A">
        <w:rPr>
          <w:sz w:val="18"/>
          <w:szCs w:val="18"/>
        </w:rPr>
        <w:t>a BSZC</w:t>
      </w:r>
      <w:r w:rsidRPr="00F9196A">
        <w:rPr>
          <w:sz w:val="18"/>
          <w:szCs w:val="18"/>
        </w:rPr>
        <w:t xml:space="preserve"> 2022. évi tevékenységéről, a szakképzés aktuális helyzetéről és lehetőségéről)</w:t>
      </w:r>
    </w:p>
    <w:p w14:paraId="1AEA3657" w14:textId="77777777" w:rsidR="00B408A0" w:rsidRPr="004007D0" w:rsidRDefault="00B408A0" w:rsidP="0028508D">
      <w:pPr>
        <w:jc w:val="both"/>
        <w:rPr>
          <w:sz w:val="12"/>
          <w:szCs w:val="12"/>
        </w:rPr>
      </w:pPr>
    </w:p>
    <w:p w14:paraId="26335D1B" w14:textId="77777777" w:rsidR="00B408A0" w:rsidRDefault="00B408A0" w:rsidP="00B408A0">
      <w:pPr>
        <w:jc w:val="both"/>
        <w:rPr>
          <w:rFonts w:cstheme="minorHAnsi"/>
        </w:rPr>
      </w:pPr>
      <w:r w:rsidRPr="00AB54C2">
        <w:rPr>
          <w:rFonts w:cstheme="minorHAnsi"/>
        </w:rPr>
        <w:t>Összesen 6 KEOR csoportot érintett a Vizsgaközpont eddigi tevékenysége</w:t>
      </w:r>
      <w:r>
        <w:rPr>
          <w:rFonts w:cstheme="minorHAnsi"/>
        </w:rPr>
        <w:t xml:space="preserve"> a fenti ábra szerinti részletezéssel: </w:t>
      </w:r>
    </w:p>
    <w:p w14:paraId="1B87A2D0" w14:textId="77777777" w:rsidR="00B408A0" w:rsidRDefault="00B408A0" w:rsidP="00DD4EA3">
      <w:pPr>
        <w:pStyle w:val="Listaszerbekezds"/>
        <w:numPr>
          <w:ilvl w:val="0"/>
          <w:numId w:val="25"/>
        </w:numPr>
        <w:jc w:val="both"/>
        <w:rPr>
          <w:rFonts w:cstheme="minorHAnsi"/>
        </w:rPr>
      </w:pPr>
      <w:r w:rsidRPr="00B408A0">
        <w:rPr>
          <w:rFonts w:cstheme="minorHAnsi"/>
        </w:rPr>
        <w:t>az Oktatáshoz és Egészségügyhöz kapcsolódó képesítő vizsgák domináltak</w:t>
      </w:r>
      <w:r>
        <w:rPr>
          <w:rFonts w:cstheme="minorHAnsi"/>
        </w:rPr>
        <w:t xml:space="preserve">; </w:t>
      </w:r>
    </w:p>
    <w:p w14:paraId="3D7DBC69" w14:textId="77777777" w:rsidR="00B408A0" w:rsidRDefault="00B408A0" w:rsidP="00DD4EA3">
      <w:pPr>
        <w:pStyle w:val="Listaszerbekezds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az</w:t>
      </w:r>
      <w:r w:rsidRPr="00B408A0">
        <w:rPr>
          <w:rFonts w:cstheme="minorHAnsi"/>
        </w:rPr>
        <w:t xml:space="preserve"> Oktatás területén kiemelkedő volt a Dajka és a Pedagógiai munkatárs, Egészségügyi területen pedig a Betegkísérő képesítő vizsga</w:t>
      </w:r>
      <w:r w:rsidR="00DD4EA3">
        <w:rPr>
          <w:rFonts w:cstheme="minorHAnsi"/>
        </w:rPr>
        <w:t>;</w:t>
      </w:r>
    </w:p>
    <w:p w14:paraId="1BB1E07D" w14:textId="77777777" w:rsidR="00B408A0" w:rsidRDefault="00B408A0" w:rsidP="00DD4EA3">
      <w:pPr>
        <w:pStyle w:val="Listaszerbekezds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az</w:t>
      </w:r>
      <w:r w:rsidRPr="00B408A0">
        <w:rPr>
          <w:rFonts w:cstheme="minorHAnsi"/>
        </w:rPr>
        <w:t xml:space="preserve"> egyik legizgalmasabb képesítő vizsga a Növényvédelmi drónpilóta volt, melyet az országban az elsők között szervezt</w:t>
      </w:r>
      <w:r w:rsidR="00DD4EA3">
        <w:rPr>
          <w:rFonts w:cstheme="minorHAnsi"/>
        </w:rPr>
        <w:t>ek</w:t>
      </w:r>
      <w:r w:rsidRPr="00B408A0">
        <w:rPr>
          <w:rFonts w:cstheme="minorHAnsi"/>
        </w:rPr>
        <w:t xml:space="preserve"> meg.</w:t>
      </w:r>
    </w:p>
    <w:p w14:paraId="11FDD4CF" w14:textId="77777777" w:rsidR="00C76E93" w:rsidRPr="004007D0" w:rsidRDefault="00C76E93" w:rsidP="00C76E93">
      <w:pPr>
        <w:jc w:val="both"/>
        <w:rPr>
          <w:rFonts w:cstheme="minorHAnsi"/>
          <w:sz w:val="12"/>
          <w:szCs w:val="12"/>
        </w:rPr>
      </w:pPr>
    </w:p>
    <w:p w14:paraId="51D9C1EB" w14:textId="77777777" w:rsidR="00C76E93" w:rsidRDefault="00C76E93" w:rsidP="00C76E93">
      <w:pPr>
        <w:jc w:val="both"/>
        <w:rPr>
          <w:rFonts w:cstheme="minorHAnsi"/>
        </w:rPr>
      </w:pPr>
      <w:r>
        <w:rPr>
          <w:rFonts w:cstheme="minorHAnsi"/>
        </w:rPr>
        <w:t>A Centrum munkájában mindezek mellett kiemelt szerepet tölt be a</w:t>
      </w:r>
      <w:r w:rsidRPr="00C76E93">
        <w:rPr>
          <w:rFonts w:cstheme="minorHAnsi"/>
        </w:rPr>
        <w:t xml:space="preserve"> végzettség nélküli iskolaelhagyás, lemorzsolódás megakadályozás</w:t>
      </w:r>
      <w:r>
        <w:rPr>
          <w:rFonts w:cstheme="minorHAnsi"/>
        </w:rPr>
        <w:t>a</w:t>
      </w:r>
      <w:r w:rsidRPr="00C76E93">
        <w:rPr>
          <w:rFonts w:cstheme="minorHAnsi"/>
        </w:rPr>
        <w:t xml:space="preserve"> és legalább egy szakképzés megszerzésének</w:t>
      </w:r>
      <w:r>
        <w:rPr>
          <w:rFonts w:cstheme="minorHAnsi"/>
        </w:rPr>
        <w:t xml:space="preserve"> elősegítése, amelyhez kapcsolódóan </w:t>
      </w:r>
      <w:r w:rsidRPr="00C76E93">
        <w:rPr>
          <w:rFonts w:cstheme="minorHAnsi"/>
        </w:rPr>
        <w:t>műhelyiskolák</w:t>
      </w:r>
      <w:r>
        <w:rPr>
          <w:rFonts w:cstheme="minorHAnsi"/>
        </w:rPr>
        <w:t>at létesít</w:t>
      </w:r>
      <w:r w:rsidRPr="00C76E93">
        <w:rPr>
          <w:rFonts w:cstheme="minorHAnsi"/>
        </w:rPr>
        <w:t>, valamint a dobbantó program</w:t>
      </w:r>
      <w:r>
        <w:rPr>
          <w:rFonts w:cstheme="minorHAnsi"/>
        </w:rPr>
        <w:t>ot működtett, ahol a</w:t>
      </w:r>
      <w:r w:rsidRPr="00C76E93">
        <w:rPr>
          <w:rFonts w:cstheme="minorHAnsi"/>
        </w:rPr>
        <w:t>z általános iskolát el nem végzőknek biztosítja az alapkompetencia fejlesztést, ahonnan a műhelyiskolába lehet továbblépni és alapfokú végzettséget szerezni.</w:t>
      </w:r>
    </w:p>
    <w:p w14:paraId="29F14178" w14:textId="77777777" w:rsidR="00881D7F" w:rsidRDefault="00881D7F" w:rsidP="00C76E93">
      <w:pPr>
        <w:jc w:val="both"/>
        <w:rPr>
          <w:rFonts w:cstheme="minorHAnsi"/>
        </w:rPr>
      </w:pPr>
    </w:p>
    <w:p w14:paraId="27695E0E" w14:textId="1ED8AE0E" w:rsidR="00B408A0" w:rsidRDefault="002A275D" w:rsidP="0095758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881D7F">
        <w:rPr>
          <w:rFonts w:cstheme="minorHAnsi"/>
        </w:rPr>
        <w:t xml:space="preserve"> Berettyóújfalui Szakképzési Centrum</w:t>
      </w:r>
      <w:r w:rsidR="00E300D3">
        <w:rPr>
          <w:rFonts w:cstheme="minorHAnsi"/>
        </w:rPr>
        <w:t xml:space="preserve"> intézményei az Erasmus+ Szakképzésben tanulók és dolgozók rövid távú tanulási célú mobilitása programban vesznek részt</w:t>
      </w:r>
      <w:r w:rsidR="0095758B">
        <w:rPr>
          <w:rFonts w:cstheme="minorHAnsi"/>
        </w:rPr>
        <w:t xml:space="preserve"> Görögországban </w:t>
      </w:r>
      <w:r w:rsidR="00E300D3" w:rsidRPr="00E300D3">
        <w:rPr>
          <w:rFonts w:cstheme="minorHAnsi"/>
        </w:rPr>
        <w:t xml:space="preserve">2022/2023-as tanévben 6 nyertes </w:t>
      </w:r>
      <w:r w:rsidR="00E300D3">
        <w:rPr>
          <w:rFonts w:cstheme="minorHAnsi"/>
        </w:rPr>
        <w:t>intézmény 150 tanuló</w:t>
      </w:r>
      <w:r w:rsidR="0095758B">
        <w:rPr>
          <w:rFonts w:cstheme="minorHAnsi"/>
        </w:rPr>
        <w:t>val</w:t>
      </w:r>
      <w:r w:rsidR="00E300D3">
        <w:rPr>
          <w:rFonts w:cstheme="minorHAnsi"/>
        </w:rPr>
        <w:t xml:space="preserve"> és 30 oktató</w:t>
      </w:r>
      <w:r w:rsidR="0095758B">
        <w:rPr>
          <w:rFonts w:cstheme="minorHAnsi"/>
        </w:rPr>
        <w:t xml:space="preserve">val, míg a 2023/2024-es </w:t>
      </w:r>
      <w:r w:rsidR="0095758B" w:rsidRPr="0095758B">
        <w:rPr>
          <w:rFonts w:cstheme="minorHAnsi"/>
        </w:rPr>
        <w:t>tanévben pedig 7 nyertes intézmé</w:t>
      </w:r>
      <w:r w:rsidR="0095758B">
        <w:rPr>
          <w:rFonts w:cstheme="minorHAnsi"/>
        </w:rPr>
        <w:t>n</w:t>
      </w:r>
      <w:r w:rsidR="0095758B" w:rsidRPr="0095758B">
        <w:rPr>
          <w:rFonts w:cstheme="minorHAnsi"/>
        </w:rPr>
        <w:t>y 175 tanulóval és 35 oktatóval</w:t>
      </w:r>
      <w:r w:rsidR="0095758B">
        <w:rPr>
          <w:rFonts w:cstheme="minorHAnsi"/>
        </w:rPr>
        <w:t>.</w:t>
      </w:r>
    </w:p>
    <w:p w14:paraId="021BD6C5" w14:textId="77777777" w:rsidR="0028508D" w:rsidRPr="00B66366" w:rsidRDefault="0028508D" w:rsidP="0028508D">
      <w:pPr>
        <w:jc w:val="both"/>
      </w:pPr>
      <w:r w:rsidRPr="00B66366">
        <w:t xml:space="preserve">A BSZC </w:t>
      </w:r>
      <w:r w:rsidR="00B61095" w:rsidRPr="00B66366">
        <w:t>12 intézményében összességében 4 588 tanuló képzése folyik 335 oktató közreműködésével az alábbi összefoglalás szerint</w:t>
      </w:r>
      <w:r w:rsidRPr="00B66366">
        <w:t>:</w:t>
      </w:r>
    </w:p>
    <w:p w14:paraId="010AF89F" w14:textId="77777777" w:rsidR="004753A7" w:rsidRPr="00B66366" w:rsidRDefault="004753A7" w:rsidP="0028508D">
      <w:pPr>
        <w:jc w:val="both"/>
      </w:pPr>
    </w:p>
    <w:p w14:paraId="1CF08FF5" w14:textId="77777777" w:rsidR="004853C9" w:rsidRPr="00B66366" w:rsidRDefault="004853C9" w:rsidP="0028508D">
      <w:pPr>
        <w:jc w:val="both"/>
        <w:sectPr w:rsidR="004853C9" w:rsidRPr="00B66366" w:rsidSect="00E300D3">
          <w:footerReference w:type="default" r:id="rId11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tbl>
      <w:tblPr>
        <w:tblStyle w:val="Rcsostblzat"/>
        <w:tblW w:w="16018" w:type="dxa"/>
        <w:tblInd w:w="-856" w:type="dxa"/>
        <w:tblLook w:val="04A0" w:firstRow="1" w:lastRow="0" w:firstColumn="1" w:lastColumn="0" w:noHBand="0" w:noVBand="1"/>
      </w:tblPr>
      <w:tblGrid>
        <w:gridCol w:w="2949"/>
        <w:gridCol w:w="2007"/>
        <w:gridCol w:w="926"/>
        <w:gridCol w:w="1044"/>
        <w:gridCol w:w="938"/>
        <w:gridCol w:w="2626"/>
        <w:gridCol w:w="5528"/>
      </w:tblGrid>
      <w:tr w:rsidR="00AA4FD4" w:rsidRPr="001765DF" w14:paraId="2431AD7C" w14:textId="77777777" w:rsidTr="0081222C">
        <w:tc>
          <w:tcPr>
            <w:tcW w:w="2949" w:type="dxa"/>
            <w:vMerge w:val="restart"/>
            <w:shd w:val="clear" w:color="auto" w:fill="D9D9D9" w:themeFill="background1" w:themeFillShade="D9"/>
            <w:vAlign w:val="center"/>
          </w:tcPr>
          <w:p w14:paraId="572A79DD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lastRenderedPageBreak/>
              <w:t>Intézmény neve</w:t>
            </w:r>
          </w:p>
        </w:tc>
        <w:tc>
          <w:tcPr>
            <w:tcW w:w="2007" w:type="dxa"/>
            <w:vMerge w:val="restart"/>
            <w:shd w:val="clear" w:color="auto" w:fill="D9D9D9" w:themeFill="background1" w:themeFillShade="D9"/>
            <w:vAlign w:val="center"/>
          </w:tcPr>
          <w:p w14:paraId="1391E629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Székhelye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14:paraId="5F376253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Tanulói létszám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6AC3E32A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Oktatói létszám (fő)</w:t>
            </w:r>
          </w:p>
        </w:tc>
        <w:tc>
          <w:tcPr>
            <w:tcW w:w="2626" w:type="dxa"/>
            <w:vMerge w:val="restart"/>
            <w:shd w:val="clear" w:color="auto" w:fill="D9D9D9" w:themeFill="background1" w:themeFillShade="D9"/>
            <w:vAlign w:val="center"/>
          </w:tcPr>
          <w:p w14:paraId="77EEBA5D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Képzési szerkezet (szakmák száma)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  <w:vAlign w:val="center"/>
          </w:tcPr>
          <w:p w14:paraId="1C708882" w14:textId="77777777" w:rsidR="004853C9" w:rsidRPr="001765DF" w:rsidRDefault="000F6366" w:rsidP="00197D25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Intézmény aktualitásai</w:t>
            </w:r>
          </w:p>
        </w:tc>
      </w:tr>
      <w:tr w:rsidR="0081222C" w:rsidRPr="001765DF" w14:paraId="27474E2B" w14:textId="77777777" w:rsidTr="0081222C">
        <w:tc>
          <w:tcPr>
            <w:tcW w:w="2949" w:type="dxa"/>
            <w:vMerge/>
            <w:shd w:val="clear" w:color="auto" w:fill="D9D9D9" w:themeFill="background1" w:themeFillShade="D9"/>
            <w:vAlign w:val="center"/>
          </w:tcPr>
          <w:p w14:paraId="20D921C0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vMerge/>
            <w:shd w:val="clear" w:color="auto" w:fill="D9D9D9" w:themeFill="background1" w:themeFillShade="D9"/>
            <w:vAlign w:val="center"/>
          </w:tcPr>
          <w:p w14:paraId="44F082F7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59DD0AC1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nappali (fő)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FF283D4" w14:textId="77777777" w:rsidR="004853C9" w:rsidRPr="001765DF" w:rsidRDefault="004853C9" w:rsidP="004853C9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felnőtt (fő)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  <w:vAlign w:val="center"/>
          </w:tcPr>
          <w:p w14:paraId="65B81D34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vMerge/>
            <w:shd w:val="clear" w:color="auto" w:fill="D9D9D9" w:themeFill="background1" w:themeFillShade="D9"/>
            <w:vAlign w:val="center"/>
          </w:tcPr>
          <w:p w14:paraId="63452EC7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D9D9D9" w:themeFill="background1" w:themeFillShade="D9"/>
            <w:vAlign w:val="center"/>
          </w:tcPr>
          <w:p w14:paraId="70206ECB" w14:textId="77777777" w:rsidR="004853C9" w:rsidRPr="001765DF" w:rsidRDefault="004853C9" w:rsidP="00197D25">
            <w:pPr>
              <w:jc w:val="both"/>
              <w:rPr>
                <w:sz w:val="18"/>
                <w:szCs w:val="18"/>
              </w:rPr>
            </w:pPr>
          </w:p>
        </w:tc>
      </w:tr>
      <w:tr w:rsidR="0081222C" w:rsidRPr="001765DF" w14:paraId="53F01B6F" w14:textId="77777777" w:rsidTr="0081222C">
        <w:tc>
          <w:tcPr>
            <w:tcW w:w="2949" w:type="dxa"/>
            <w:vAlign w:val="center"/>
          </w:tcPr>
          <w:p w14:paraId="758E9B2A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D708E7" w:rsidRPr="001765DF">
              <w:rPr>
                <w:b/>
                <w:bCs/>
                <w:sz w:val="18"/>
                <w:szCs w:val="18"/>
              </w:rPr>
              <w:t>Veres Péter Gimnázium, Technikum és Szakképző Iskola</w:t>
            </w:r>
          </w:p>
        </w:tc>
        <w:tc>
          <w:tcPr>
            <w:tcW w:w="2007" w:type="dxa"/>
            <w:vAlign w:val="center"/>
          </w:tcPr>
          <w:p w14:paraId="7AE38866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4060 </w:t>
            </w:r>
            <w:r w:rsidRPr="001765DF">
              <w:rPr>
                <w:b/>
                <w:bCs/>
                <w:sz w:val="18"/>
                <w:szCs w:val="18"/>
              </w:rPr>
              <w:t>Balmazújváros</w:t>
            </w:r>
            <w:r w:rsidR="00D84CA5" w:rsidRPr="001765DF">
              <w:rPr>
                <w:sz w:val="18"/>
                <w:szCs w:val="18"/>
              </w:rPr>
              <w:t>,</w:t>
            </w:r>
            <w:r w:rsidRPr="001765DF">
              <w:rPr>
                <w:sz w:val="18"/>
                <w:szCs w:val="18"/>
              </w:rPr>
              <w:t xml:space="preserve"> Batthyány utca 7.</w:t>
            </w:r>
          </w:p>
        </w:tc>
        <w:tc>
          <w:tcPr>
            <w:tcW w:w="926" w:type="dxa"/>
            <w:vAlign w:val="center"/>
          </w:tcPr>
          <w:p w14:paraId="05F4B1DC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384</w:t>
            </w:r>
          </w:p>
        </w:tc>
        <w:tc>
          <w:tcPr>
            <w:tcW w:w="1044" w:type="dxa"/>
            <w:vAlign w:val="center"/>
          </w:tcPr>
          <w:p w14:paraId="175801B1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77</w:t>
            </w:r>
          </w:p>
        </w:tc>
        <w:tc>
          <w:tcPr>
            <w:tcW w:w="938" w:type="dxa"/>
            <w:vAlign w:val="center"/>
          </w:tcPr>
          <w:p w14:paraId="2645A2B1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45</w:t>
            </w:r>
          </w:p>
        </w:tc>
        <w:tc>
          <w:tcPr>
            <w:tcW w:w="2626" w:type="dxa"/>
            <w:vAlign w:val="center"/>
          </w:tcPr>
          <w:p w14:paraId="587F2D67" w14:textId="77777777" w:rsidR="004853C9" w:rsidRPr="001765DF" w:rsidRDefault="004853C9" w:rsidP="004853C9">
            <w:pPr>
              <w:pStyle w:val="Listaszerbekezds"/>
              <w:numPr>
                <w:ilvl w:val="0"/>
                <w:numId w:val="5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Gimnáziumi,</w:t>
            </w:r>
          </w:p>
          <w:p w14:paraId="21FD9EBD" w14:textId="77777777" w:rsidR="004853C9" w:rsidRPr="001765DF" w:rsidRDefault="004853C9" w:rsidP="004853C9">
            <w:pPr>
              <w:pStyle w:val="Listaszerbekezds"/>
              <w:numPr>
                <w:ilvl w:val="0"/>
                <w:numId w:val="5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(4)</w:t>
            </w:r>
          </w:p>
          <w:p w14:paraId="19BF75BB" w14:textId="77777777" w:rsidR="004853C9" w:rsidRPr="001765DF" w:rsidRDefault="004853C9" w:rsidP="004853C9">
            <w:pPr>
              <w:pStyle w:val="Listaszerbekezds"/>
              <w:numPr>
                <w:ilvl w:val="0"/>
                <w:numId w:val="5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(12)</w:t>
            </w:r>
          </w:p>
          <w:p w14:paraId="61143BD5" w14:textId="77777777" w:rsidR="004853C9" w:rsidRPr="001765DF" w:rsidRDefault="004853C9" w:rsidP="004853C9">
            <w:pPr>
              <w:pStyle w:val="Listaszerbekezds"/>
              <w:numPr>
                <w:ilvl w:val="0"/>
                <w:numId w:val="5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60483D5C" w14:textId="77777777" w:rsidR="00197D25" w:rsidRPr="001765DF" w:rsidRDefault="00197D25" w:rsidP="00197D25">
            <w:pPr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 helyi általános iskolákkal kialakított nagyon jó kapcsolatnak köszönhetően, a nyolcadikosok nagyon nagy százaléka ebben a tagintézményben folytatja tanulmányait. </w:t>
            </w:r>
          </w:p>
          <w:p w14:paraId="4E66CA3D" w14:textId="77777777" w:rsidR="00197D25" w:rsidRPr="001765DF" w:rsidRDefault="00197D25" w:rsidP="00197D25">
            <w:pPr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Sajnos a gimnázium elvégzése után kevesen választják az iskola szakképzési ajánlatát. </w:t>
            </w:r>
          </w:p>
          <w:p w14:paraId="58695B81" w14:textId="77777777" w:rsidR="00197D25" w:rsidRPr="001765DF" w:rsidRDefault="00197D25" w:rsidP="00197D25">
            <w:pPr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 megyeszékhely közelsége jelentős elszívó hatást gyakorol a végzős diákokra. </w:t>
            </w:r>
          </w:p>
          <w:p w14:paraId="5CE8396E" w14:textId="77777777" w:rsidR="004853C9" w:rsidRPr="001765DF" w:rsidRDefault="00197D25" w:rsidP="00197D25">
            <w:pPr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 tanműhelyek jól felszereltek, informatikai park folyamatos fejlesztés alatt van. Infrastrukturális fejlesztés részeként vizesblokk felújítása és gázkazán cserék történtek. </w:t>
            </w:r>
          </w:p>
        </w:tc>
      </w:tr>
      <w:tr w:rsidR="0081222C" w:rsidRPr="001765DF" w14:paraId="17977F49" w14:textId="77777777" w:rsidTr="0081222C">
        <w:tc>
          <w:tcPr>
            <w:tcW w:w="2949" w:type="dxa"/>
            <w:vAlign w:val="center"/>
          </w:tcPr>
          <w:p w14:paraId="3D594F6F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D708E7" w:rsidRPr="001765DF">
              <w:rPr>
                <w:b/>
                <w:bCs/>
                <w:sz w:val="18"/>
                <w:szCs w:val="18"/>
              </w:rPr>
              <w:t>Bessenyei György Technikum</w:t>
            </w:r>
          </w:p>
        </w:tc>
        <w:tc>
          <w:tcPr>
            <w:tcW w:w="2007" w:type="dxa"/>
            <w:vAlign w:val="center"/>
          </w:tcPr>
          <w:p w14:paraId="2649348F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4100 </w:t>
            </w:r>
            <w:r w:rsidRPr="001765DF">
              <w:rPr>
                <w:b/>
                <w:bCs/>
                <w:sz w:val="18"/>
                <w:szCs w:val="18"/>
              </w:rPr>
              <w:t>Berettyóújfalu</w:t>
            </w:r>
            <w:r w:rsidR="00D84CA5" w:rsidRPr="001765DF">
              <w:rPr>
                <w:sz w:val="18"/>
                <w:szCs w:val="18"/>
              </w:rPr>
              <w:t>,</w:t>
            </w:r>
            <w:r w:rsidRPr="001765DF">
              <w:rPr>
                <w:sz w:val="18"/>
                <w:szCs w:val="18"/>
              </w:rPr>
              <w:t xml:space="preserve"> Honvéd utca 9.</w:t>
            </w:r>
          </w:p>
        </w:tc>
        <w:tc>
          <w:tcPr>
            <w:tcW w:w="926" w:type="dxa"/>
            <w:vAlign w:val="center"/>
          </w:tcPr>
          <w:p w14:paraId="6172269E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299</w:t>
            </w:r>
          </w:p>
        </w:tc>
        <w:tc>
          <w:tcPr>
            <w:tcW w:w="1044" w:type="dxa"/>
            <w:vAlign w:val="center"/>
          </w:tcPr>
          <w:p w14:paraId="73405EFA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8</w:t>
            </w:r>
          </w:p>
        </w:tc>
        <w:tc>
          <w:tcPr>
            <w:tcW w:w="938" w:type="dxa"/>
            <w:vAlign w:val="center"/>
          </w:tcPr>
          <w:p w14:paraId="07888606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28</w:t>
            </w:r>
          </w:p>
        </w:tc>
        <w:tc>
          <w:tcPr>
            <w:tcW w:w="2626" w:type="dxa"/>
            <w:vAlign w:val="center"/>
          </w:tcPr>
          <w:p w14:paraId="1B8A488F" w14:textId="18E07A81" w:rsidR="004853C9" w:rsidRPr="001765DF" w:rsidRDefault="004853C9" w:rsidP="004853C9">
            <w:pPr>
              <w:pStyle w:val="Listaszerbekezds"/>
              <w:numPr>
                <w:ilvl w:val="0"/>
                <w:numId w:val="6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Technikusi (8)</w:t>
            </w:r>
          </w:p>
        </w:tc>
        <w:tc>
          <w:tcPr>
            <w:tcW w:w="5528" w:type="dxa"/>
            <w:vAlign w:val="center"/>
          </w:tcPr>
          <w:p w14:paraId="230E4827" w14:textId="77777777" w:rsidR="00E425D8" w:rsidRPr="001765DF" w:rsidRDefault="00E425D8" w:rsidP="00E425D8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iskola informatikai és szaktantermi felszereltsége nagyon jó, az oktató kollégák nagyon innovatívok és ennek köszönhetően a tanulmányi eredmények is jók.</w:t>
            </w:r>
          </w:p>
          <w:p w14:paraId="75F2CE77" w14:textId="77777777" w:rsidR="00E425D8" w:rsidRPr="001765DF" w:rsidRDefault="00E425D8" w:rsidP="00E425D8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Új szakmák bevezetése elősegíti a tanulók gyors elhelyezkedését a gazdasági szereplőknél.</w:t>
            </w:r>
          </w:p>
          <w:p w14:paraId="7EE7A450" w14:textId="77777777" w:rsidR="004853C9" w:rsidRPr="001765DF" w:rsidRDefault="00E425D8" w:rsidP="00E425D8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Energetikailag a teljesen felújított iskola teljesíteni tudta az energiai takarékossági előírásokat.</w:t>
            </w:r>
          </w:p>
        </w:tc>
      </w:tr>
      <w:tr w:rsidR="0081222C" w:rsidRPr="001765DF" w14:paraId="3EE9626F" w14:textId="77777777" w:rsidTr="0081222C">
        <w:tc>
          <w:tcPr>
            <w:tcW w:w="2949" w:type="dxa"/>
            <w:vAlign w:val="center"/>
          </w:tcPr>
          <w:p w14:paraId="29FACE7D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Eötvös József Szakképző Iskola és Szakiskolája</w:t>
            </w:r>
          </w:p>
        </w:tc>
        <w:tc>
          <w:tcPr>
            <w:tcW w:w="2007" w:type="dxa"/>
            <w:vAlign w:val="center"/>
          </w:tcPr>
          <w:p w14:paraId="15D06961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4100 </w:t>
            </w:r>
            <w:r w:rsidRPr="001765DF">
              <w:rPr>
                <w:b/>
                <w:bCs/>
                <w:sz w:val="18"/>
                <w:szCs w:val="18"/>
              </w:rPr>
              <w:t>Berettyóújfalu</w:t>
            </w:r>
            <w:r w:rsidR="00D84CA5" w:rsidRPr="001765DF">
              <w:rPr>
                <w:sz w:val="18"/>
                <w:szCs w:val="18"/>
              </w:rPr>
              <w:t>,</w:t>
            </w:r>
            <w:r w:rsidRPr="001765DF">
              <w:rPr>
                <w:sz w:val="18"/>
                <w:szCs w:val="18"/>
              </w:rPr>
              <w:t xml:space="preserve"> Eötvös utca 1.</w:t>
            </w:r>
          </w:p>
        </w:tc>
        <w:tc>
          <w:tcPr>
            <w:tcW w:w="926" w:type="dxa"/>
            <w:vAlign w:val="center"/>
          </w:tcPr>
          <w:p w14:paraId="77676B27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154</w:t>
            </w:r>
          </w:p>
        </w:tc>
        <w:tc>
          <w:tcPr>
            <w:tcW w:w="1044" w:type="dxa"/>
            <w:vAlign w:val="center"/>
          </w:tcPr>
          <w:p w14:paraId="5586AADB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61</w:t>
            </w:r>
          </w:p>
        </w:tc>
        <w:tc>
          <w:tcPr>
            <w:tcW w:w="938" w:type="dxa"/>
            <w:vAlign w:val="center"/>
          </w:tcPr>
          <w:p w14:paraId="2A557EC8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19</w:t>
            </w:r>
          </w:p>
        </w:tc>
        <w:tc>
          <w:tcPr>
            <w:tcW w:w="2626" w:type="dxa"/>
            <w:vAlign w:val="center"/>
          </w:tcPr>
          <w:p w14:paraId="2CED95B9" w14:textId="77777777" w:rsidR="004853C9" w:rsidRPr="001765DF" w:rsidRDefault="004853C9" w:rsidP="004853C9">
            <w:pPr>
              <w:pStyle w:val="Listaszerbekezds"/>
              <w:numPr>
                <w:ilvl w:val="0"/>
                <w:numId w:val="7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(9)</w:t>
            </w:r>
          </w:p>
          <w:p w14:paraId="3195B698" w14:textId="77777777" w:rsidR="004853C9" w:rsidRPr="001765DF" w:rsidRDefault="004853C9" w:rsidP="004853C9">
            <w:pPr>
              <w:pStyle w:val="Listaszerbekezds"/>
              <w:numPr>
                <w:ilvl w:val="0"/>
                <w:numId w:val="7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Szakiskolai (résszakma 2)</w:t>
            </w:r>
          </w:p>
          <w:p w14:paraId="578ABDA2" w14:textId="77777777" w:rsidR="004853C9" w:rsidRPr="001765DF" w:rsidRDefault="004853C9" w:rsidP="004853C9">
            <w:pPr>
              <w:pStyle w:val="Listaszerbekezds"/>
              <w:numPr>
                <w:ilvl w:val="0"/>
                <w:numId w:val="7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Dobbantó és Műhelyiskolai</w:t>
            </w:r>
          </w:p>
          <w:p w14:paraId="0099D695" w14:textId="77777777" w:rsidR="004853C9" w:rsidRPr="001765DF" w:rsidRDefault="004853C9" w:rsidP="004853C9">
            <w:pPr>
              <w:pStyle w:val="Listaszerbekezds"/>
              <w:numPr>
                <w:ilvl w:val="0"/>
                <w:numId w:val="7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28C9C6BB" w14:textId="77777777" w:rsidR="00E425D8" w:rsidRPr="001765DF" w:rsidRDefault="00E425D8" w:rsidP="00E425D8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Az iskola egy teljes energetikai felújításon esett keresztül az elmúlt években. Eszközellátottsága és eszközparkja az elmúlt évben történt fejlesztéseknek köszönhetően kiváló. Az iskola diákjainak jelentős százaléka hátrányos vagy halmozottan hátrányos helyzetű. </w:t>
            </w:r>
          </w:p>
          <w:p w14:paraId="5FD9BB0A" w14:textId="77777777" w:rsidR="004853C9" w:rsidRPr="001765DF" w:rsidRDefault="00E425D8" w:rsidP="00E425D8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 szakképző iskola beiskolázási és lemorzsolódás nehézségei jól megfigyelhetők az intézményben.</w:t>
            </w:r>
          </w:p>
        </w:tc>
      </w:tr>
      <w:tr w:rsidR="0081222C" w:rsidRPr="001765DF" w14:paraId="0ED35F98" w14:textId="77777777" w:rsidTr="0081222C">
        <w:tc>
          <w:tcPr>
            <w:tcW w:w="2949" w:type="dxa"/>
            <w:vAlign w:val="center"/>
          </w:tcPr>
          <w:p w14:paraId="1A721EC8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Bocskai István Szakképző Iskola és Kollégium</w:t>
            </w:r>
          </w:p>
        </w:tc>
        <w:tc>
          <w:tcPr>
            <w:tcW w:w="2007" w:type="dxa"/>
            <w:vAlign w:val="center"/>
          </w:tcPr>
          <w:p w14:paraId="2713AC0F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4110 </w:t>
            </w:r>
            <w:r w:rsidRPr="001765DF">
              <w:rPr>
                <w:b/>
                <w:bCs/>
                <w:sz w:val="18"/>
                <w:szCs w:val="18"/>
              </w:rPr>
              <w:t>Biharkeresztes</w:t>
            </w:r>
            <w:r w:rsidRPr="001765DF">
              <w:rPr>
                <w:sz w:val="18"/>
                <w:szCs w:val="18"/>
              </w:rPr>
              <w:t>, Ady Endre utca 2.</w:t>
            </w:r>
          </w:p>
        </w:tc>
        <w:tc>
          <w:tcPr>
            <w:tcW w:w="926" w:type="dxa"/>
            <w:vAlign w:val="center"/>
          </w:tcPr>
          <w:p w14:paraId="38BC8747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68</w:t>
            </w:r>
          </w:p>
        </w:tc>
        <w:tc>
          <w:tcPr>
            <w:tcW w:w="1044" w:type="dxa"/>
            <w:vAlign w:val="center"/>
          </w:tcPr>
          <w:p w14:paraId="339E81BD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51</w:t>
            </w:r>
          </w:p>
        </w:tc>
        <w:tc>
          <w:tcPr>
            <w:tcW w:w="938" w:type="dxa"/>
            <w:vAlign w:val="center"/>
          </w:tcPr>
          <w:p w14:paraId="62E40C6B" w14:textId="77777777" w:rsidR="004853C9" w:rsidRPr="001765DF" w:rsidRDefault="004853C9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8</w:t>
            </w:r>
          </w:p>
        </w:tc>
        <w:tc>
          <w:tcPr>
            <w:tcW w:w="2626" w:type="dxa"/>
            <w:vAlign w:val="center"/>
          </w:tcPr>
          <w:p w14:paraId="61BD6020" w14:textId="77777777" w:rsidR="004853C9" w:rsidRPr="001765DF" w:rsidRDefault="004853C9" w:rsidP="004853C9">
            <w:pPr>
              <w:pStyle w:val="Listaszerbekezds"/>
              <w:numPr>
                <w:ilvl w:val="0"/>
                <w:numId w:val="8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(2)</w:t>
            </w:r>
          </w:p>
          <w:p w14:paraId="391DA41C" w14:textId="77777777" w:rsidR="004853C9" w:rsidRPr="001765DF" w:rsidRDefault="004853C9" w:rsidP="004853C9">
            <w:pPr>
              <w:pStyle w:val="Listaszerbekezds"/>
              <w:numPr>
                <w:ilvl w:val="0"/>
                <w:numId w:val="8"/>
              </w:numPr>
              <w:ind w:left="388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412DA302" w14:textId="77777777" w:rsidR="004853C9" w:rsidRPr="001765DF" w:rsidRDefault="00E425D8" w:rsidP="00197D2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intézményben kizárólag szakképző iskolai képzés folyik, melyhez az infrastrukturális feltételek adottak. Az intézmény infrastruktúrája nagyon jó. A beiskolázási körzete a bihari települések. A falvak elöregedésének hozadéka a középfokú képzési intézmény kihasználtságának a csökkenése.</w:t>
            </w:r>
          </w:p>
        </w:tc>
      </w:tr>
      <w:tr w:rsidR="0081222C" w:rsidRPr="001765DF" w14:paraId="331BBB52" w14:textId="77777777" w:rsidTr="0081222C">
        <w:tc>
          <w:tcPr>
            <w:tcW w:w="2949" w:type="dxa"/>
            <w:vAlign w:val="center"/>
          </w:tcPr>
          <w:p w14:paraId="5E06F1DB" w14:textId="77777777" w:rsidR="004853C9" w:rsidRPr="001765DF" w:rsidRDefault="000F6366" w:rsidP="000F6366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Veress Ferenc Szakképző Iskola</w:t>
            </w:r>
          </w:p>
        </w:tc>
        <w:tc>
          <w:tcPr>
            <w:tcW w:w="2007" w:type="dxa"/>
            <w:vAlign w:val="center"/>
          </w:tcPr>
          <w:p w14:paraId="4B793BC5" w14:textId="77777777" w:rsidR="004853C9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4220 </w:t>
            </w:r>
            <w:r w:rsidRPr="001765DF">
              <w:rPr>
                <w:b/>
                <w:bCs/>
                <w:sz w:val="18"/>
                <w:szCs w:val="18"/>
              </w:rPr>
              <w:t>Hajdúböszörmény</w:t>
            </w:r>
            <w:r w:rsidRPr="001765DF">
              <w:rPr>
                <w:sz w:val="18"/>
                <w:szCs w:val="18"/>
              </w:rPr>
              <w:t>, Enyingi-Török Bálint u. 5/a.</w:t>
            </w:r>
          </w:p>
        </w:tc>
        <w:tc>
          <w:tcPr>
            <w:tcW w:w="926" w:type="dxa"/>
            <w:vAlign w:val="center"/>
          </w:tcPr>
          <w:p w14:paraId="04F6CCE9" w14:textId="77777777" w:rsidR="004853C9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69</w:t>
            </w:r>
          </w:p>
        </w:tc>
        <w:tc>
          <w:tcPr>
            <w:tcW w:w="1044" w:type="dxa"/>
            <w:vAlign w:val="center"/>
          </w:tcPr>
          <w:p w14:paraId="0B1FC00B" w14:textId="77777777" w:rsidR="004853C9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78</w:t>
            </w:r>
          </w:p>
        </w:tc>
        <w:tc>
          <w:tcPr>
            <w:tcW w:w="938" w:type="dxa"/>
            <w:vAlign w:val="center"/>
          </w:tcPr>
          <w:p w14:paraId="5C171EB7" w14:textId="77777777" w:rsidR="004853C9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14</w:t>
            </w:r>
          </w:p>
        </w:tc>
        <w:tc>
          <w:tcPr>
            <w:tcW w:w="2626" w:type="dxa"/>
            <w:vAlign w:val="center"/>
          </w:tcPr>
          <w:p w14:paraId="7E023F93" w14:textId="77777777" w:rsidR="000F6366" w:rsidRPr="001765DF" w:rsidRDefault="000F6366" w:rsidP="000F6366">
            <w:pPr>
              <w:pStyle w:val="Listaszerbekezds"/>
              <w:numPr>
                <w:ilvl w:val="0"/>
                <w:numId w:val="9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(2)</w:t>
            </w:r>
          </w:p>
          <w:p w14:paraId="374DD63A" w14:textId="77777777" w:rsidR="000F6366" w:rsidRPr="001765DF" w:rsidRDefault="000F6366" w:rsidP="000F6366">
            <w:pPr>
              <w:pStyle w:val="Listaszerbekezds"/>
              <w:numPr>
                <w:ilvl w:val="0"/>
                <w:numId w:val="9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(9)</w:t>
            </w:r>
          </w:p>
          <w:p w14:paraId="4020313B" w14:textId="77777777" w:rsidR="004853C9" w:rsidRPr="001765DF" w:rsidRDefault="000F6366" w:rsidP="002B3CE7">
            <w:pPr>
              <w:pStyle w:val="Listaszerbekezds"/>
              <w:numPr>
                <w:ilvl w:val="0"/>
                <w:numId w:val="9"/>
              </w:numPr>
              <w:ind w:left="312" w:hanging="284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2E0D8D2F" w14:textId="06F72A13" w:rsidR="009C69E1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Hajdúböszörmény három középiskolájának egyike, amelyhez két telephely tartozik. Beiskolázási lehetőségeit az nehezíti, hogy a megyeközpont nagyon közel van és még két másik fenntartó által üzemeltetett középfokú intézmény is működik a városban. A képzési kínálat változatosságával tudja az iskola a minimális beiskolázási létszámát megtartani. Az intézmény képzési kínálata rendkívül rugalmas, gyorsan reagál a környezeti változásokra.</w:t>
            </w:r>
            <w:r w:rsidR="0081222C" w:rsidRPr="001765DF">
              <w:rPr>
                <w:sz w:val="18"/>
                <w:szCs w:val="18"/>
              </w:rPr>
              <w:t xml:space="preserve"> </w:t>
            </w:r>
            <w:r w:rsidRPr="001765DF">
              <w:rPr>
                <w:sz w:val="18"/>
                <w:szCs w:val="18"/>
              </w:rPr>
              <w:t>Az iskola diákjainak nagyon nagy része hátrányos és halmozottan hátrányos helyzetű.</w:t>
            </w:r>
          </w:p>
          <w:p w14:paraId="58EE1B5D" w14:textId="77777777" w:rsidR="004853C9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a felnőttek szakmai oktatásban aktív szerepet vállal.</w:t>
            </w:r>
            <w:r w:rsidR="0081222C" w:rsidRPr="001765DF">
              <w:rPr>
                <w:sz w:val="18"/>
                <w:szCs w:val="18"/>
              </w:rPr>
              <w:t xml:space="preserve"> </w:t>
            </w:r>
            <w:r w:rsidRPr="001765DF">
              <w:rPr>
                <w:sz w:val="18"/>
                <w:szCs w:val="18"/>
              </w:rPr>
              <w:t>Az intézmény vendéglátó tanműhelye a Hajdúböszörményben a Városkert utcán van</w:t>
            </w:r>
            <w:r w:rsidR="002C18FA" w:rsidRPr="001765DF">
              <w:rPr>
                <w:sz w:val="18"/>
                <w:szCs w:val="18"/>
              </w:rPr>
              <w:t>,</w:t>
            </w:r>
            <w:r w:rsidRPr="001765DF">
              <w:rPr>
                <w:sz w:val="18"/>
                <w:szCs w:val="18"/>
              </w:rPr>
              <w:t xml:space="preserve"> amely teljes körű felújításon esett át.</w:t>
            </w:r>
          </w:p>
          <w:p w14:paraId="419CB014" w14:textId="77777777" w:rsidR="009C69E1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Továbbá az intézmény részleges energetikai korszerűsítés valósult meg.</w:t>
            </w:r>
          </w:p>
        </w:tc>
      </w:tr>
      <w:tr w:rsidR="0081222C" w:rsidRPr="001765DF" w14:paraId="23ED6BD2" w14:textId="77777777" w:rsidTr="0081222C">
        <w:tc>
          <w:tcPr>
            <w:tcW w:w="2949" w:type="dxa"/>
            <w:vAlign w:val="center"/>
          </w:tcPr>
          <w:p w14:paraId="49EDFA47" w14:textId="77777777" w:rsidR="000F6366" w:rsidRPr="001765DF" w:rsidRDefault="000F6366" w:rsidP="000F6366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lastRenderedPageBreak/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Szilágyi Dániel Szakképző Iskola</w:t>
            </w:r>
          </w:p>
        </w:tc>
        <w:tc>
          <w:tcPr>
            <w:tcW w:w="2007" w:type="dxa"/>
            <w:vAlign w:val="center"/>
          </w:tcPr>
          <w:p w14:paraId="49A74631" w14:textId="77777777" w:rsidR="000F6366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4242 </w:t>
            </w:r>
            <w:r w:rsidRPr="001765DF">
              <w:rPr>
                <w:b/>
                <w:bCs/>
                <w:sz w:val="18"/>
                <w:szCs w:val="18"/>
              </w:rPr>
              <w:t>Hajdúhadház</w:t>
            </w:r>
            <w:r w:rsidRPr="001765DF">
              <w:rPr>
                <w:sz w:val="18"/>
                <w:szCs w:val="18"/>
              </w:rPr>
              <w:t>, Bocskai tér 6.</w:t>
            </w:r>
          </w:p>
        </w:tc>
        <w:tc>
          <w:tcPr>
            <w:tcW w:w="926" w:type="dxa"/>
            <w:vAlign w:val="center"/>
          </w:tcPr>
          <w:p w14:paraId="313C9BD2" w14:textId="77777777" w:rsidR="000F6366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194</w:t>
            </w:r>
          </w:p>
        </w:tc>
        <w:tc>
          <w:tcPr>
            <w:tcW w:w="1044" w:type="dxa"/>
            <w:vAlign w:val="center"/>
          </w:tcPr>
          <w:p w14:paraId="7D328ED8" w14:textId="77777777" w:rsidR="000F6366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135</w:t>
            </w:r>
          </w:p>
        </w:tc>
        <w:tc>
          <w:tcPr>
            <w:tcW w:w="938" w:type="dxa"/>
            <w:vAlign w:val="center"/>
          </w:tcPr>
          <w:p w14:paraId="179EE038" w14:textId="77777777" w:rsidR="000F6366" w:rsidRPr="001765DF" w:rsidRDefault="000F6366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19</w:t>
            </w:r>
          </w:p>
        </w:tc>
        <w:tc>
          <w:tcPr>
            <w:tcW w:w="2626" w:type="dxa"/>
            <w:vAlign w:val="center"/>
          </w:tcPr>
          <w:p w14:paraId="450C7F9D" w14:textId="77777777" w:rsidR="005F46D5" w:rsidRPr="001765DF" w:rsidRDefault="005F46D5" w:rsidP="005F46D5">
            <w:pPr>
              <w:pStyle w:val="Listaszerbekezds"/>
              <w:numPr>
                <w:ilvl w:val="0"/>
                <w:numId w:val="11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(2)</w:t>
            </w:r>
          </w:p>
          <w:p w14:paraId="0B887784" w14:textId="77777777" w:rsidR="005F46D5" w:rsidRPr="001765DF" w:rsidRDefault="005F46D5" w:rsidP="005F46D5">
            <w:pPr>
              <w:pStyle w:val="Listaszerbekezds"/>
              <w:numPr>
                <w:ilvl w:val="0"/>
                <w:numId w:val="11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(5)</w:t>
            </w:r>
          </w:p>
          <w:p w14:paraId="0D5DAF64" w14:textId="77777777" w:rsidR="000F6366" w:rsidRPr="001765DF" w:rsidRDefault="005F46D5" w:rsidP="005F46D5">
            <w:pPr>
              <w:pStyle w:val="Listaszerbekezds"/>
              <w:numPr>
                <w:ilvl w:val="0"/>
                <w:numId w:val="11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Dobbantó és Műhelyiskolai</w:t>
            </w:r>
          </w:p>
        </w:tc>
        <w:tc>
          <w:tcPr>
            <w:tcW w:w="5528" w:type="dxa"/>
            <w:vAlign w:val="center"/>
          </w:tcPr>
          <w:p w14:paraId="5E1E37CA" w14:textId="77777777" w:rsidR="009C69E1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Az intézmény Hajdúhadház egyetlen középfokú intézménye. A tanulók nagyon nagy része hátrányos és halmozottan hátrányos helyzetű. Az intézményben szakképzés minden esetben a helyi munkaerő piaci igényeknek megfelelően zajlik. Az iskola környezete, épülete és eszközellátottsága megfelelő, a hatékony oktató-nevelő munkát szolgálják. </w:t>
            </w:r>
          </w:p>
          <w:p w14:paraId="484F1D85" w14:textId="77777777" w:rsidR="009C69E1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nagy szerepet vállal a felnőttek szakmai oktatásában és képzésben egyaránt.</w:t>
            </w:r>
          </w:p>
          <w:p w14:paraId="1E2C48B1" w14:textId="77777777" w:rsidR="000F6366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 megyeszékhely rendkívüli közelsége nagy elszívó hatást gyakorol a beiskolázásra. </w:t>
            </w:r>
          </w:p>
        </w:tc>
      </w:tr>
      <w:tr w:rsidR="0081222C" w:rsidRPr="001765DF" w14:paraId="5B6C934D" w14:textId="77777777" w:rsidTr="0081222C">
        <w:tc>
          <w:tcPr>
            <w:tcW w:w="2949" w:type="dxa"/>
            <w:vAlign w:val="center"/>
          </w:tcPr>
          <w:p w14:paraId="664E0FA2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Csiha Győző Technikum és Szakképző Iskola</w:t>
            </w:r>
          </w:p>
        </w:tc>
        <w:tc>
          <w:tcPr>
            <w:tcW w:w="2007" w:type="dxa"/>
            <w:vAlign w:val="center"/>
          </w:tcPr>
          <w:p w14:paraId="5BBAAA78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4080 </w:t>
            </w:r>
            <w:r w:rsidRPr="001765DF">
              <w:rPr>
                <w:b/>
                <w:bCs/>
                <w:sz w:val="18"/>
                <w:szCs w:val="18"/>
              </w:rPr>
              <w:t>Hajdúnánás</w:t>
            </w:r>
            <w:r w:rsidRPr="001765DF">
              <w:rPr>
                <w:sz w:val="18"/>
                <w:szCs w:val="18"/>
              </w:rPr>
              <w:t>, Baross utca 11.</w:t>
            </w:r>
          </w:p>
        </w:tc>
        <w:tc>
          <w:tcPr>
            <w:tcW w:w="926" w:type="dxa"/>
            <w:vAlign w:val="center"/>
          </w:tcPr>
          <w:p w14:paraId="232A97A9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321</w:t>
            </w:r>
          </w:p>
        </w:tc>
        <w:tc>
          <w:tcPr>
            <w:tcW w:w="1044" w:type="dxa"/>
            <w:vAlign w:val="center"/>
          </w:tcPr>
          <w:p w14:paraId="3408EE9C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471</w:t>
            </w:r>
          </w:p>
        </w:tc>
        <w:tc>
          <w:tcPr>
            <w:tcW w:w="938" w:type="dxa"/>
            <w:vAlign w:val="center"/>
          </w:tcPr>
          <w:p w14:paraId="55B6A3B2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40</w:t>
            </w:r>
          </w:p>
        </w:tc>
        <w:tc>
          <w:tcPr>
            <w:tcW w:w="2626" w:type="dxa"/>
            <w:vAlign w:val="center"/>
          </w:tcPr>
          <w:p w14:paraId="5AB2D960" w14:textId="77777777" w:rsidR="005F46D5" w:rsidRPr="001765DF" w:rsidRDefault="005F46D5" w:rsidP="005F46D5">
            <w:pPr>
              <w:pStyle w:val="Listaszerbekezds"/>
              <w:numPr>
                <w:ilvl w:val="0"/>
                <w:numId w:val="13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(6)</w:t>
            </w:r>
          </w:p>
          <w:p w14:paraId="1A4A1F6E" w14:textId="77777777" w:rsidR="005F46D5" w:rsidRPr="001765DF" w:rsidRDefault="005F46D5" w:rsidP="005F46D5">
            <w:pPr>
              <w:pStyle w:val="Listaszerbekezds"/>
              <w:numPr>
                <w:ilvl w:val="0"/>
                <w:numId w:val="13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Szakközépiskolai (11)</w:t>
            </w:r>
          </w:p>
          <w:p w14:paraId="28A4737D" w14:textId="77777777" w:rsidR="005F46D5" w:rsidRPr="001765DF" w:rsidRDefault="005F46D5" w:rsidP="005F46D5">
            <w:pPr>
              <w:pStyle w:val="Listaszerbekezds"/>
              <w:numPr>
                <w:ilvl w:val="0"/>
                <w:numId w:val="13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47EF428C" w14:textId="77777777" w:rsidR="009C69E1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 beiskolázottságra hatással volt, hogy korábban a szakképesítés</w:t>
            </w:r>
            <w:r w:rsidR="009D0585" w:rsidRPr="001765DF">
              <w:rPr>
                <w:sz w:val="18"/>
                <w:szCs w:val="18"/>
              </w:rPr>
              <w:t xml:space="preserve"> más intézményegyüttes részeként működött majd 2015-ben szétválasztás után alakult ki a jelenlegi intézményi forma.</w:t>
            </w:r>
            <w:r w:rsidRPr="001765DF">
              <w:rPr>
                <w:sz w:val="18"/>
                <w:szCs w:val="18"/>
              </w:rPr>
              <w:t xml:space="preserve"> Az iskola informatikai és szaktantermi felszereltsége nagyon jó, az oktató kollégák nagyon innovatívok és ennek köszönhetően a tanulmányi eredmények is jók.</w:t>
            </w:r>
          </w:p>
          <w:p w14:paraId="40D8E148" w14:textId="77777777" w:rsidR="009C69E1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 tanműhelyi felszereltség nagyon jó, új gépészeti és autószerelő műhelyeket adtunk át az utóbbi időben.</w:t>
            </w:r>
          </w:p>
          <w:p w14:paraId="5B475AA0" w14:textId="77777777" w:rsidR="005F46D5" w:rsidRPr="001765DF" w:rsidRDefault="009C69E1" w:rsidP="009C69E1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 tanulók jobb tanulási körülményeinek biztosítása érdekébe a Centrum a 2018-as gazdasági évben jelentős energetikai, épület és eszközfejlesztéseket hajtott végre az intézményben.</w:t>
            </w:r>
          </w:p>
        </w:tc>
      </w:tr>
      <w:tr w:rsidR="0081222C" w:rsidRPr="001765DF" w14:paraId="2176E194" w14:textId="77777777" w:rsidTr="0081222C">
        <w:tc>
          <w:tcPr>
            <w:tcW w:w="2949" w:type="dxa"/>
            <w:vAlign w:val="center"/>
          </w:tcPr>
          <w:p w14:paraId="6F5BCF61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Közgazdasági Technikum</w:t>
            </w:r>
          </w:p>
        </w:tc>
        <w:tc>
          <w:tcPr>
            <w:tcW w:w="2007" w:type="dxa"/>
            <w:vAlign w:val="center"/>
          </w:tcPr>
          <w:p w14:paraId="302FB759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4200 </w:t>
            </w:r>
            <w:r w:rsidRPr="001765DF">
              <w:rPr>
                <w:b/>
                <w:bCs/>
                <w:sz w:val="18"/>
                <w:szCs w:val="18"/>
              </w:rPr>
              <w:t>Hajdúszoboszló</w:t>
            </w:r>
            <w:r w:rsidRPr="001765DF">
              <w:rPr>
                <w:sz w:val="18"/>
                <w:szCs w:val="18"/>
              </w:rPr>
              <w:t>, Gönczy Pál utca 15-17.</w:t>
            </w:r>
          </w:p>
        </w:tc>
        <w:tc>
          <w:tcPr>
            <w:tcW w:w="926" w:type="dxa"/>
            <w:vAlign w:val="center"/>
          </w:tcPr>
          <w:p w14:paraId="31999598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260</w:t>
            </w:r>
          </w:p>
        </w:tc>
        <w:tc>
          <w:tcPr>
            <w:tcW w:w="1044" w:type="dxa"/>
            <w:vAlign w:val="center"/>
          </w:tcPr>
          <w:p w14:paraId="6C0CADE6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74</w:t>
            </w:r>
          </w:p>
        </w:tc>
        <w:tc>
          <w:tcPr>
            <w:tcW w:w="938" w:type="dxa"/>
            <w:vAlign w:val="center"/>
          </w:tcPr>
          <w:p w14:paraId="3D784DE9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27</w:t>
            </w:r>
          </w:p>
        </w:tc>
        <w:tc>
          <w:tcPr>
            <w:tcW w:w="2626" w:type="dxa"/>
            <w:vAlign w:val="center"/>
          </w:tcPr>
          <w:p w14:paraId="4B51B923" w14:textId="77777777" w:rsidR="005F46D5" w:rsidRPr="001765DF" w:rsidRDefault="005F46D5" w:rsidP="005F46D5">
            <w:pPr>
              <w:pStyle w:val="Listaszerbekezds"/>
              <w:numPr>
                <w:ilvl w:val="0"/>
                <w:numId w:val="14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(5)</w:t>
            </w:r>
          </w:p>
        </w:tc>
        <w:tc>
          <w:tcPr>
            <w:tcW w:w="5528" w:type="dxa"/>
            <w:vAlign w:val="center"/>
          </w:tcPr>
          <w:p w14:paraId="19385739" w14:textId="77777777" w:rsidR="005F46D5" w:rsidRPr="001765DF" w:rsidRDefault="002C18FA" w:rsidP="00197D2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intézményben s</w:t>
            </w:r>
            <w:r w:rsidR="009D0585" w:rsidRPr="001765DF">
              <w:rPr>
                <w:sz w:val="18"/>
                <w:szCs w:val="18"/>
              </w:rPr>
              <w:t>zakmai vizsgára készítenek fel közgazdasági, informatika és turizmus-vendéglátás ágazatban. Nagy hangsúlyt fektetnek a munkaerőpiacon is felhasználható tudás megszerzésére. Ennek érdekében szoros együttműködésben vannak az IT Service az, NI informatika cégekkel, amelyek támogatásával a legkorszerűbb technikai eszközök (CISCO) megismerésére van lehetősége a diákoknak. A több évtizedes tapasztalatok szerint az intézmény jó színvonalú munkát végez, melyet az országos átlagnál jóval magasabb kompetenciamérési, érettségi és jelentkezési eredmények támasztanak alá. Az intézmény a felnőttek oktatásában jelentős feladatot lát el a közgazdasági szakemberek képzése-továbbképzése terén.</w:t>
            </w:r>
          </w:p>
        </w:tc>
      </w:tr>
      <w:tr w:rsidR="0081222C" w:rsidRPr="001765DF" w14:paraId="2032E13C" w14:textId="77777777" w:rsidTr="0081222C">
        <w:tc>
          <w:tcPr>
            <w:tcW w:w="2949" w:type="dxa"/>
            <w:vAlign w:val="center"/>
          </w:tcPr>
          <w:p w14:paraId="68B8A342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Bocskai István Szakképző Iskola</w:t>
            </w:r>
          </w:p>
        </w:tc>
        <w:tc>
          <w:tcPr>
            <w:tcW w:w="2007" w:type="dxa"/>
            <w:vAlign w:val="center"/>
          </w:tcPr>
          <w:p w14:paraId="0E5C1989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4200 </w:t>
            </w:r>
            <w:r w:rsidRPr="001765DF">
              <w:rPr>
                <w:b/>
                <w:bCs/>
                <w:sz w:val="18"/>
                <w:szCs w:val="18"/>
              </w:rPr>
              <w:t>Hajdúszoboszló</w:t>
            </w:r>
            <w:r w:rsidRPr="001765DF">
              <w:rPr>
                <w:sz w:val="18"/>
                <w:szCs w:val="18"/>
              </w:rPr>
              <w:t>, József Attila utca 25/c.</w:t>
            </w:r>
          </w:p>
        </w:tc>
        <w:tc>
          <w:tcPr>
            <w:tcW w:w="926" w:type="dxa"/>
            <w:vAlign w:val="center"/>
          </w:tcPr>
          <w:p w14:paraId="7E4C4839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308</w:t>
            </w:r>
          </w:p>
        </w:tc>
        <w:tc>
          <w:tcPr>
            <w:tcW w:w="1044" w:type="dxa"/>
            <w:vAlign w:val="center"/>
          </w:tcPr>
          <w:p w14:paraId="4F7BC065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vAlign w:val="center"/>
          </w:tcPr>
          <w:p w14:paraId="5990CF1D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25</w:t>
            </w:r>
          </w:p>
        </w:tc>
        <w:tc>
          <w:tcPr>
            <w:tcW w:w="2626" w:type="dxa"/>
            <w:vAlign w:val="center"/>
          </w:tcPr>
          <w:p w14:paraId="23665F02" w14:textId="77777777" w:rsidR="005F46D5" w:rsidRPr="001765DF" w:rsidRDefault="005F46D5" w:rsidP="005F46D5">
            <w:pPr>
              <w:pStyle w:val="Listaszerbekezds"/>
              <w:numPr>
                <w:ilvl w:val="0"/>
                <w:numId w:val="15"/>
              </w:numPr>
              <w:ind w:left="311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(1)</w:t>
            </w:r>
          </w:p>
          <w:p w14:paraId="2957908B" w14:textId="77777777" w:rsidR="005F46D5" w:rsidRPr="001765DF" w:rsidRDefault="005F46D5" w:rsidP="005F46D5">
            <w:pPr>
              <w:pStyle w:val="Listaszerbekezds"/>
              <w:numPr>
                <w:ilvl w:val="0"/>
                <w:numId w:val="15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(5)</w:t>
            </w:r>
          </w:p>
          <w:p w14:paraId="1F50DC8B" w14:textId="77777777" w:rsidR="005F46D5" w:rsidRPr="001765DF" w:rsidRDefault="005F46D5" w:rsidP="005F46D5">
            <w:pPr>
              <w:pStyle w:val="Listaszerbekezds"/>
              <w:numPr>
                <w:ilvl w:val="0"/>
                <w:numId w:val="15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7C29953D" w14:textId="77777777" w:rsidR="009D0585" w:rsidRPr="001765DF" w:rsidRDefault="009D0585" w:rsidP="009D058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hazánk egyik legkedveltebb turisztikai városában található és régi hagyományos képzései közé tartozik a pincér és szakácsképzés. A humánerőforrás és eszközellátottság a képzések tekintetében jó, ezt támasztja alá a szakmai versenyeken elért sok jó eredmény.</w:t>
            </w:r>
          </w:p>
          <w:p w14:paraId="624F2FB5" w14:textId="77777777" w:rsidR="009D0585" w:rsidRPr="001765DF" w:rsidRDefault="009D0585" w:rsidP="009D058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intézménynek jelentős szerepe van a térség gasztronómiai szakembereinek utánpótlásában.</w:t>
            </w:r>
          </w:p>
          <w:p w14:paraId="12E617FC" w14:textId="77777777" w:rsidR="005F46D5" w:rsidRPr="001765DF" w:rsidRDefault="009D0585" w:rsidP="009D058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energetikailag teljesen megújult az utóbbi években.</w:t>
            </w:r>
          </w:p>
        </w:tc>
      </w:tr>
      <w:tr w:rsidR="0081222C" w:rsidRPr="001765DF" w14:paraId="178DBE88" w14:textId="77777777" w:rsidTr="0081222C">
        <w:tc>
          <w:tcPr>
            <w:tcW w:w="2949" w:type="dxa"/>
            <w:vAlign w:val="center"/>
          </w:tcPr>
          <w:p w14:paraId="5AF78799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József Attila Szakképző Iskola</w:t>
            </w:r>
          </w:p>
        </w:tc>
        <w:tc>
          <w:tcPr>
            <w:tcW w:w="2007" w:type="dxa"/>
            <w:vAlign w:val="center"/>
          </w:tcPr>
          <w:p w14:paraId="6519D963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4090 </w:t>
            </w:r>
            <w:r w:rsidRPr="001765DF">
              <w:rPr>
                <w:b/>
                <w:bCs/>
                <w:sz w:val="18"/>
                <w:szCs w:val="18"/>
              </w:rPr>
              <w:t>Polgár</w:t>
            </w:r>
            <w:r w:rsidRPr="001765DF">
              <w:rPr>
                <w:sz w:val="18"/>
                <w:szCs w:val="18"/>
              </w:rPr>
              <w:t>, Kiss Ernő utca 10.</w:t>
            </w:r>
          </w:p>
        </w:tc>
        <w:tc>
          <w:tcPr>
            <w:tcW w:w="926" w:type="dxa"/>
            <w:vAlign w:val="center"/>
          </w:tcPr>
          <w:p w14:paraId="2BB59EE1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102</w:t>
            </w:r>
          </w:p>
        </w:tc>
        <w:tc>
          <w:tcPr>
            <w:tcW w:w="1044" w:type="dxa"/>
            <w:vAlign w:val="center"/>
          </w:tcPr>
          <w:p w14:paraId="719CF780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184</w:t>
            </w:r>
          </w:p>
        </w:tc>
        <w:tc>
          <w:tcPr>
            <w:tcW w:w="938" w:type="dxa"/>
            <w:vAlign w:val="center"/>
          </w:tcPr>
          <w:p w14:paraId="2DCFDA91" w14:textId="77777777" w:rsidR="005F46D5" w:rsidRPr="001765DF" w:rsidRDefault="005F46D5" w:rsidP="004853C9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16</w:t>
            </w:r>
          </w:p>
        </w:tc>
        <w:tc>
          <w:tcPr>
            <w:tcW w:w="2626" w:type="dxa"/>
            <w:vAlign w:val="center"/>
          </w:tcPr>
          <w:p w14:paraId="1A00CA44" w14:textId="77777777" w:rsidR="005F46D5" w:rsidRPr="001765DF" w:rsidRDefault="005F46D5" w:rsidP="005F46D5">
            <w:pPr>
              <w:pStyle w:val="Listaszerbekezds"/>
              <w:numPr>
                <w:ilvl w:val="0"/>
                <w:numId w:val="17"/>
              </w:numPr>
              <w:ind w:left="311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(2)</w:t>
            </w:r>
          </w:p>
          <w:p w14:paraId="2B5C4129" w14:textId="77777777" w:rsidR="005F46D5" w:rsidRPr="001765DF" w:rsidRDefault="005F46D5" w:rsidP="005F46D5">
            <w:pPr>
              <w:pStyle w:val="Listaszerbekezds"/>
              <w:numPr>
                <w:ilvl w:val="0"/>
                <w:numId w:val="17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(4)</w:t>
            </w:r>
          </w:p>
          <w:p w14:paraId="0D3C8D0D" w14:textId="77777777" w:rsidR="005F46D5" w:rsidRPr="001765DF" w:rsidRDefault="005F46D5" w:rsidP="005F46D5">
            <w:pPr>
              <w:pStyle w:val="Listaszerbekezds"/>
              <w:numPr>
                <w:ilvl w:val="0"/>
                <w:numId w:val="17"/>
              </w:numPr>
              <w:ind w:left="314" w:hanging="283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66FBE651" w14:textId="77777777" w:rsidR="009D0585" w:rsidRPr="001765DF" w:rsidRDefault="009D0585" w:rsidP="009D058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iskolának nagy kihívást jelent a beiskolázás területén Tiszaújváros, mint elszívó hatást gyakorló ipari város a szomszéd megyében. A beiskolázási körzete ritkán lakott kis településekből tevődik össze. A tanulók nagyon nagy százaléka hátrányos és halmozottan hátrányos helyzetű.</w:t>
            </w:r>
          </w:p>
          <w:p w14:paraId="68BF8CE9" w14:textId="77777777" w:rsidR="005F46D5" w:rsidRPr="001765DF" w:rsidRDefault="009D0585" w:rsidP="009D058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a felnőttek szakmai oktatásban aktív szerepet vállal.</w:t>
            </w:r>
          </w:p>
        </w:tc>
      </w:tr>
      <w:tr w:rsidR="0081222C" w:rsidRPr="001765DF" w14:paraId="051D1980" w14:textId="77777777" w:rsidTr="0081222C">
        <w:tc>
          <w:tcPr>
            <w:tcW w:w="2949" w:type="dxa"/>
            <w:vAlign w:val="center"/>
          </w:tcPr>
          <w:p w14:paraId="33D332DC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lastRenderedPageBreak/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Karacs Ferenc Gimnáziuma, Szakgimnáziuma és Szakközépiskolája</w:t>
            </w:r>
          </w:p>
        </w:tc>
        <w:tc>
          <w:tcPr>
            <w:tcW w:w="2007" w:type="dxa"/>
            <w:vAlign w:val="center"/>
          </w:tcPr>
          <w:p w14:paraId="4852F864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4150 </w:t>
            </w:r>
            <w:r w:rsidRPr="001765DF">
              <w:rPr>
                <w:b/>
                <w:bCs/>
                <w:sz w:val="18"/>
                <w:szCs w:val="18"/>
              </w:rPr>
              <w:t>Püspökladány,</w:t>
            </w:r>
            <w:r w:rsidRPr="001765DF">
              <w:rPr>
                <w:sz w:val="18"/>
                <w:szCs w:val="18"/>
              </w:rPr>
              <w:t xml:space="preserve"> Gagarin utca 2. </w:t>
            </w:r>
          </w:p>
        </w:tc>
        <w:tc>
          <w:tcPr>
            <w:tcW w:w="926" w:type="dxa"/>
            <w:vAlign w:val="center"/>
          </w:tcPr>
          <w:p w14:paraId="320FDF55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456</w:t>
            </w:r>
          </w:p>
        </w:tc>
        <w:tc>
          <w:tcPr>
            <w:tcW w:w="1044" w:type="dxa"/>
            <w:vAlign w:val="center"/>
          </w:tcPr>
          <w:p w14:paraId="25F792E7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75</w:t>
            </w:r>
          </w:p>
        </w:tc>
        <w:tc>
          <w:tcPr>
            <w:tcW w:w="938" w:type="dxa"/>
            <w:vAlign w:val="center"/>
          </w:tcPr>
          <w:p w14:paraId="25CB6549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50</w:t>
            </w:r>
          </w:p>
        </w:tc>
        <w:tc>
          <w:tcPr>
            <w:tcW w:w="2626" w:type="dxa"/>
            <w:vAlign w:val="center"/>
          </w:tcPr>
          <w:p w14:paraId="06F9724C" w14:textId="77777777" w:rsidR="005F46D5" w:rsidRPr="001765DF" w:rsidRDefault="005F46D5" w:rsidP="00D84CA5">
            <w:pPr>
              <w:pStyle w:val="Listaszerbekezds"/>
              <w:numPr>
                <w:ilvl w:val="0"/>
                <w:numId w:val="19"/>
              </w:numPr>
              <w:ind w:left="311" w:hanging="311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Gimnáziumi,</w:t>
            </w:r>
          </w:p>
          <w:p w14:paraId="2AA279BE" w14:textId="77777777" w:rsidR="005F46D5" w:rsidRPr="001765DF" w:rsidRDefault="005F46D5" w:rsidP="005F46D5">
            <w:pPr>
              <w:pStyle w:val="Listaszerbekezds"/>
              <w:numPr>
                <w:ilvl w:val="0"/>
                <w:numId w:val="19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(5)</w:t>
            </w:r>
          </w:p>
          <w:p w14:paraId="36254757" w14:textId="77777777" w:rsidR="005F46D5" w:rsidRPr="001765DF" w:rsidRDefault="005F46D5" w:rsidP="005F46D5">
            <w:pPr>
              <w:pStyle w:val="Listaszerbekezds"/>
              <w:numPr>
                <w:ilvl w:val="0"/>
                <w:numId w:val="19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iskolai (10)</w:t>
            </w:r>
          </w:p>
          <w:p w14:paraId="4F2E9BDD" w14:textId="77777777" w:rsidR="005F46D5" w:rsidRPr="001765DF" w:rsidRDefault="005F46D5" w:rsidP="005F46D5">
            <w:pPr>
              <w:pStyle w:val="Listaszerbekezds"/>
              <w:numPr>
                <w:ilvl w:val="0"/>
                <w:numId w:val="19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Szakképző iskola 2 éves érettségi felkészítő</w:t>
            </w:r>
          </w:p>
        </w:tc>
        <w:tc>
          <w:tcPr>
            <w:tcW w:w="5528" w:type="dxa"/>
            <w:vAlign w:val="center"/>
          </w:tcPr>
          <w:p w14:paraId="4A1E3D29" w14:textId="77777777" w:rsidR="005F46D5" w:rsidRPr="001765DF" w:rsidRDefault="009D0585" w:rsidP="009D0585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Püspökladány település, valamint a sárréti térség középfokú oktatását fedi le széleskörű képzési kínálatával a járás egyetlen középfokú oktatási intézményként. A gimnáziumi, technikumi és szakképző iskolai képzések mind megtalálhatók itt, melyhez az intézmény eszközellátottsága és a több telephelyen folyó oktatás minden feltételt biztosít. A képzési szerkezet kialakítása jól illeszkedik a térség igényeihez. A tanműhelyek és a szaktantermek nagyon jól felszereltek és az előző évben egy autószerelő tanműhelyet is átadt</w:t>
            </w:r>
            <w:r w:rsidR="002C18FA" w:rsidRPr="001765DF">
              <w:rPr>
                <w:sz w:val="18"/>
                <w:szCs w:val="18"/>
              </w:rPr>
              <w:t>ak</w:t>
            </w:r>
            <w:r w:rsidRPr="001765DF">
              <w:rPr>
                <w:sz w:val="18"/>
                <w:szCs w:val="18"/>
              </w:rPr>
              <w:t xml:space="preserve"> a tanulóiknak.</w:t>
            </w:r>
          </w:p>
        </w:tc>
      </w:tr>
      <w:tr w:rsidR="0081222C" w:rsidRPr="001765DF" w14:paraId="6260CF8F" w14:textId="77777777" w:rsidTr="0081222C">
        <w:tc>
          <w:tcPr>
            <w:tcW w:w="2949" w:type="dxa"/>
            <w:vAlign w:val="center"/>
          </w:tcPr>
          <w:p w14:paraId="4868018A" w14:textId="77777777" w:rsidR="005F46D5" w:rsidRPr="001765DF" w:rsidRDefault="005F46D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Berettyóújfalui SZC </w:t>
            </w:r>
            <w:r w:rsidR="006C204E" w:rsidRPr="001765DF">
              <w:rPr>
                <w:b/>
                <w:bCs/>
                <w:sz w:val="18"/>
                <w:szCs w:val="18"/>
              </w:rPr>
              <w:t>Arany János Gimnáziuma, Egészségügyi és Közgazdasági Szakgimnáziuma</w:t>
            </w:r>
          </w:p>
        </w:tc>
        <w:tc>
          <w:tcPr>
            <w:tcW w:w="2007" w:type="dxa"/>
            <w:vAlign w:val="center"/>
          </w:tcPr>
          <w:p w14:paraId="590FF442" w14:textId="77777777" w:rsidR="005F46D5" w:rsidRPr="001765DF" w:rsidRDefault="00D84CA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4100 </w:t>
            </w:r>
            <w:r w:rsidRPr="001765DF">
              <w:rPr>
                <w:b/>
                <w:bCs/>
                <w:sz w:val="18"/>
                <w:szCs w:val="18"/>
              </w:rPr>
              <w:t xml:space="preserve">Berettyóújfalu, </w:t>
            </w:r>
            <w:r w:rsidRPr="001765DF">
              <w:rPr>
                <w:sz w:val="18"/>
                <w:szCs w:val="18"/>
              </w:rPr>
              <w:t>Kossuth utca 35.</w:t>
            </w:r>
          </w:p>
        </w:tc>
        <w:tc>
          <w:tcPr>
            <w:tcW w:w="926" w:type="dxa"/>
            <w:vAlign w:val="center"/>
          </w:tcPr>
          <w:p w14:paraId="541A5BBF" w14:textId="77777777" w:rsidR="005F46D5" w:rsidRPr="001765DF" w:rsidRDefault="00D84CA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510</w:t>
            </w:r>
          </w:p>
        </w:tc>
        <w:tc>
          <w:tcPr>
            <w:tcW w:w="1044" w:type="dxa"/>
            <w:vAlign w:val="center"/>
          </w:tcPr>
          <w:p w14:paraId="123E8B13" w14:textId="77777777" w:rsidR="005F46D5" w:rsidRPr="001765DF" w:rsidRDefault="00D84CA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149</w:t>
            </w:r>
          </w:p>
        </w:tc>
        <w:tc>
          <w:tcPr>
            <w:tcW w:w="938" w:type="dxa"/>
            <w:vAlign w:val="center"/>
          </w:tcPr>
          <w:p w14:paraId="046A25D5" w14:textId="77777777" w:rsidR="005F46D5" w:rsidRPr="001765DF" w:rsidRDefault="00D84CA5" w:rsidP="005F46D5">
            <w:pPr>
              <w:jc w:val="center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44</w:t>
            </w:r>
          </w:p>
        </w:tc>
        <w:tc>
          <w:tcPr>
            <w:tcW w:w="2626" w:type="dxa"/>
            <w:vAlign w:val="center"/>
          </w:tcPr>
          <w:p w14:paraId="773A0C41" w14:textId="77777777" w:rsidR="00D84CA5" w:rsidRPr="001765DF" w:rsidRDefault="00D84CA5" w:rsidP="00D84CA5">
            <w:pPr>
              <w:pStyle w:val="Listaszerbekezds"/>
              <w:numPr>
                <w:ilvl w:val="0"/>
                <w:numId w:val="20"/>
              </w:numPr>
              <w:ind w:left="311" w:hanging="311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Gimnáziumi,</w:t>
            </w:r>
          </w:p>
          <w:p w14:paraId="08F51C71" w14:textId="77777777" w:rsidR="005F46D5" w:rsidRPr="001765DF" w:rsidRDefault="00D84CA5" w:rsidP="00D84CA5">
            <w:pPr>
              <w:pStyle w:val="Listaszerbekezds"/>
              <w:numPr>
                <w:ilvl w:val="0"/>
                <w:numId w:val="20"/>
              </w:numPr>
              <w:ind w:left="286" w:hanging="286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Technikumi (8)</w:t>
            </w:r>
          </w:p>
        </w:tc>
        <w:tc>
          <w:tcPr>
            <w:tcW w:w="5528" w:type="dxa"/>
            <w:vAlign w:val="center"/>
          </w:tcPr>
          <w:p w14:paraId="3E50D439" w14:textId="77777777" w:rsidR="000E7A12" w:rsidRPr="001765DF" w:rsidRDefault="000E7A12" w:rsidP="000E7A12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 xml:space="preserve">A megyében az egyedüli állami fenntartású iskola, ahol egészségügyi ágazatban történik különböző szintű szakképzés. Rendkívül jó kapcsolata van az iskolának a városban működő Gróf Tisza István Korházzal. </w:t>
            </w:r>
          </w:p>
          <w:p w14:paraId="3DEA58E3" w14:textId="77777777" w:rsidR="005F46D5" w:rsidRPr="001765DF" w:rsidRDefault="000E7A12" w:rsidP="000E7A12">
            <w:pPr>
              <w:ind w:left="28"/>
              <w:jc w:val="both"/>
              <w:rPr>
                <w:sz w:val="18"/>
                <w:szCs w:val="18"/>
              </w:rPr>
            </w:pPr>
            <w:r w:rsidRPr="001765DF">
              <w:rPr>
                <w:sz w:val="18"/>
                <w:szCs w:val="18"/>
              </w:rPr>
              <w:t>Az intézmény képzési szerkezete évek óta stabil, nagyon jól szolgálja a kistérség szakember utánpótlását. Energetikai korszerűsítés részeként kazánház teljeskörű felújítása történt és régi gázkazán levegő-levegő hőszivattyúk váltják ki.</w:t>
            </w:r>
          </w:p>
        </w:tc>
      </w:tr>
      <w:tr w:rsidR="00AA4FD4" w:rsidRPr="001765DF" w14:paraId="643891AC" w14:textId="77777777" w:rsidTr="0081222C"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37078BA6" w14:textId="77777777" w:rsidR="00D84CA5" w:rsidRPr="001765DF" w:rsidRDefault="00D84CA5" w:rsidP="005F46D5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37852BF5" w14:textId="77777777" w:rsidR="00D84CA5" w:rsidRPr="001765DF" w:rsidRDefault="00D84CA5" w:rsidP="005F46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AF428E1" w14:textId="77777777" w:rsidR="00D84CA5" w:rsidRPr="001765DF" w:rsidRDefault="00D84CA5" w:rsidP="005F46D5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3 125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53D0EF2B" w14:textId="77777777" w:rsidR="00D84CA5" w:rsidRPr="001765DF" w:rsidRDefault="00D84CA5" w:rsidP="005F46D5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 xml:space="preserve">1 463 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11741DA4" w14:textId="77777777" w:rsidR="00D84CA5" w:rsidRPr="001765DF" w:rsidRDefault="00D84CA5" w:rsidP="005F46D5">
            <w:pPr>
              <w:jc w:val="center"/>
              <w:rPr>
                <w:b/>
                <w:bCs/>
                <w:sz w:val="18"/>
                <w:szCs w:val="18"/>
              </w:rPr>
            </w:pPr>
            <w:r w:rsidRPr="001765DF">
              <w:rPr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2EA1C7F7" w14:textId="77777777" w:rsidR="00D84CA5" w:rsidRPr="001765DF" w:rsidRDefault="00D84CA5" w:rsidP="00D84C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F8108BA" w14:textId="77777777" w:rsidR="00D84CA5" w:rsidRPr="001765DF" w:rsidRDefault="00D84CA5" w:rsidP="00197D25">
            <w:pPr>
              <w:ind w:left="28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93965F9" w14:textId="77777777" w:rsidR="004753A7" w:rsidRDefault="004753A7" w:rsidP="0028508D">
      <w:pPr>
        <w:jc w:val="both"/>
      </w:pPr>
    </w:p>
    <w:p w14:paraId="5A09F046" w14:textId="77777777" w:rsidR="004853C9" w:rsidRDefault="004853C9" w:rsidP="0028508D">
      <w:pPr>
        <w:pStyle w:val="Listaszerbekezds"/>
        <w:numPr>
          <w:ilvl w:val="0"/>
          <w:numId w:val="4"/>
        </w:numPr>
        <w:jc w:val="both"/>
        <w:sectPr w:rsidR="004853C9" w:rsidSect="002B3CE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14:paraId="4A53A012" w14:textId="77777777" w:rsidR="0028508D" w:rsidRDefault="0028508D" w:rsidP="0028508D">
      <w:pPr>
        <w:jc w:val="both"/>
      </w:pPr>
    </w:p>
    <w:p w14:paraId="0530A8EF" w14:textId="77777777" w:rsidR="0028508D" w:rsidRDefault="0028508D" w:rsidP="0028508D">
      <w:pPr>
        <w:jc w:val="both"/>
      </w:pPr>
      <w:r w:rsidRPr="003C6CF2">
        <w:t>Kérem a közgyűlést a tájékoztató tudomásul vételére.</w:t>
      </w:r>
    </w:p>
    <w:p w14:paraId="36CD9CDC" w14:textId="77777777" w:rsidR="0028508D" w:rsidRDefault="0028508D" w:rsidP="0028508D">
      <w:pPr>
        <w:jc w:val="both"/>
        <w:rPr>
          <w:b/>
          <w:bCs/>
          <w:u w:val="single"/>
        </w:rPr>
      </w:pPr>
    </w:p>
    <w:p w14:paraId="09077B11" w14:textId="77777777" w:rsidR="0028508D" w:rsidRDefault="0028508D" w:rsidP="0028508D">
      <w:pPr>
        <w:jc w:val="both"/>
        <w:rPr>
          <w:b/>
          <w:bCs/>
          <w:u w:val="single"/>
        </w:rPr>
      </w:pPr>
    </w:p>
    <w:p w14:paraId="7F08F82A" w14:textId="77777777" w:rsidR="0028508D" w:rsidRPr="003C6CF2" w:rsidRDefault="0028508D" w:rsidP="0028508D">
      <w:pPr>
        <w:jc w:val="both"/>
        <w:rPr>
          <w:b/>
          <w:bCs/>
          <w:u w:val="single"/>
        </w:rPr>
      </w:pPr>
      <w:r w:rsidRPr="003C6CF2">
        <w:rPr>
          <w:b/>
          <w:bCs/>
          <w:u w:val="single"/>
        </w:rPr>
        <w:t>HATÁROZATI JAVASLAT</w:t>
      </w:r>
    </w:p>
    <w:p w14:paraId="16255DEB" w14:textId="77777777" w:rsidR="0028508D" w:rsidRPr="003C6CF2" w:rsidRDefault="0028508D" w:rsidP="0028508D">
      <w:pPr>
        <w:jc w:val="both"/>
        <w:rPr>
          <w:b/>
          <w:bCs/>
          <w:u w:val="single"/>
        </w:rPr>
      </w:pPr>
    </w:p>
    <w:p w14:paraId="43206476" w14:textId="0C83F6B7" w:rsidR="00E57E88" w:rsidRDefault="00E57E88" w:rsidP="00E57E88">
      <w:pPr>
        <w:jc w:val="both"/>
      </w:pPr>
      <w:r>
        <w:t>Hajdú-Bihar Vármegye Önkormányzata Közgyűlése a Hajdú-Bihar Vármegye Önkormányzata Közgyűlése és Szervei Szervezeti és Működési Szabályzatáról szóló 4/2023. (IV. 3.) önkormányzati rendelet 18. § (1) bekezdés c) pontjára figyelemmel</w:t>
      </w:r>
    </w:p>
    <w:p w14:paraId="7650067B" w14:textId="77777777" w:rsidR="0081222C" w:rsidRPr="003C6CF2" w:rsidRDefault="0081222C" w:rsidP="0028508D">
      <w:pPr>
        <w:jc w:val="both"/>
      </w:pPr>
    </w:p>
    <w:p w14:paraId="771597CA" w14:textId="77777777" w:rsidR="0028508D" w:rsidRPr="003C6CF2" w:rsidRDefault="0028508D" w:rsidP="0028508D">
      <w:pPr>
        <w:jc w:val="both"/>
      </w:pPr>
      <w:r w:rsidRPr="003C6CF2">
        <w:t xml:space="preserve">1./ </w:t>
      </w:r>
      <w:r>
        <w:t xml:space="preserve">elfogadja </w:t>
      </w:r>
      <w:r w:rsidRPr="003C6CF2">
        <w:t xml:space="preserve">a </w:t>
      </w:r>
      <w:r w:rsidR="0081222C">
        <w:t>vár</w:t>
      </w:r>
      <w:r w:rsidRPr="008A7DD0">
        <w:t xml:space="preserve">megyei szakképzés helyzetéről </w:t>
      </w:r>
      <w:r w:rsidRPr="003C6CF2">
        <w:t>szóló tájékoztatót.</w:t>
      </w:r>
    </w:p>
    <w:p w14:paraId="126D0B02" w14:textId="77777777" w:rsidR="0028508D" w:rsidRPr="003C6CF2" w:rsidRDefault="0028508D" w:rsidP="0028508D">
      <w:pPr>
        <w:jc w:val="both"/>
      </w:pPr>
    </w:p>
    <w:p w14:paraId="7C4C117B" w14:textId="77777777" w:rsidR="0028508D" w:rsidRPr="003C6CF2" w:rsidRDefault="0028508D" w:rsidP="0028508D">
      <w:pPr>
        <w:jc w:val="both"/>
      </w:pPr>
      <w:r w:rsidRPr="003C6CF2">
        <w:t xml:space="preserve">2./ A közgyűlés felkéri elnökét, hogy határozatáról </w:t>
      </w:r>
      <w:r>
        <w:t xml:space="preserve">a </w:t>
      </w:r>
      <w:r w:rsidR="0081222C">
        <w:t>vár</w:t>
      </w:r>
      <w:r>
        <w:t xml:space="preserve">megyei szakképző centrumok </w:t>
      </w:r>
      <w:r w:rsidR="0081222C">
        <w:t xml:space="preserve">kancellárait </w:t>
      </w:r>
      <w:r w:rsidRPr="003C6CF2">
        <w:t>tájékoztassa.</w:t>
      </w:r>
    </w:p>
    <w:p w14:paraId="0D47A003" w14:textId="77777777" w:rsidR="0028508D" w:rsidRPr="003C6CF2" w:rsidRDefault="0028508D" w:rsidP="0028508D">
      <w:pPr>
        <w:jc w:val="both"/>
      </w:pPr>
    </w:p>
    <w:p w14:paraId="0FD23E2D" w14:textId="77777777" w:rsidR="0028508D" w:rsidRPr="003C6CF2" w:rsidRDefault="0028508D" w:rsidP="0028508D">
      <w:pPr>
        <w:jc w:val="both"/>
      </w:pPr>
      <w:r w:rsidRPr="003C6CF2">
        <w:rPr>
          <w:b/>
          <w:bCs/>
          <w:u w:val="single"/>
        </w:rPr>
        <w:t>Végrehajtásért felelős:</w:t>
      </w:r>
      <w:r w:rsidRPr="003C6CF2">
        <w:tab/>
        <w:t xml:space="preserve">Pajna Zoltán, a </w:t>
      </w:r>
      <w:r w:rsidR="0081222C">
        <w:t>vár</w:t>
      </w:r>
      <w:r w:rsidRPr="003C6CF2">
        <w:t>megyei közgyűlés elnöke</w:t>
      </w:r>
    </w:p>
    <w:p w14:paraId="0FA808D6" w14:textId="4ED7CE3E" w:rsidR="0028508D" w:rsidRPr="00EE0755" w:rsidRDefault="0028508D" w:rsidP="0028508D">
      <w:pPr>
        <w:jc w:val="both"/>
      </w:pPr>
      <w:r w:rsidRPr="003C6CF2">
        <w:rPr>
          <w:b/>
          <w:bCs/>
          <w:u w:val="single"/>
        </w:rPr>
        <w:t>Határidő:</w:t>
      </w:r>
      <w:r>
        <w:tab/>
      </w:r>
      <w:r>
        <w:tab/>
      </w:r>
      <w:r>
        <w:tab/>
      </w:r>
      <w:r w:rsidR="0081222C" w:rsidRPr="00EE0755">
        <w:t xml:space="preserve">2023. július </w:t>
      </w:r>
      <w:r w:rsidR="00AB3457">
        <w:t>12</w:t>
      </w:r>
      <w:r w:rsidR="0081222C" w:rsidRPr="00EE0755">
        <w:t>.</w:t>
      </w:r>
    </w:p>
    <w:p w14:paraId="3C67ADF8" w14:textId="77777777" w:rsidR="0028508D" w:rsidRPr="00EE0755" w:rsidRDefault="0028508D" w:rsidP="0028508D">
      <w:pPr>
        <w:jc w:val="both"/>
        <w:rPr>
          <w:b/>
        </w:rPr>
      </w:pPr>
    </w:p>
    <w:p w14:paraId="7089CDB8" w14:textId="77777777" w:rsidR="0028508D" w:rsidRPr="00EE0755" w:rsidRDefault="0028508D" w:rsidP="0028508D">
      <w:pPr>
        <w:jc w:val="both"/>
        <w:rPr>
          <w:b/>
        </w:rPr>
      </w:pPr>
      <w:r w:rsidRPr="00EE0755">
        <w:rPr>
          <w:b/>
        </w:rPr>
        <w:t>A határozati javaslat elfogadása egyszerű többséget igényel.</w:t>
      </w:r>
    </w:p>
    <w:p w14:paraId="71A608BF" w14:textId="77777777" w:rsidR="0028508D" w:rsidRPr="00EE0755" w:rsidRDefault="0028508D" w:rsidP="0028508D">
      <w:pPr>
        <w:jc w:val="both"/>
        <w:rPr>
          <w:bCs/>
        </w:rPr>
      </w:pPr>
    </w:p>
    <w:p w14:paraId="09AA7FCD" w14:textId="77777777" w:rsidR="0028508D" w:rsidRPr="00EE0755" w:rsidRDefault="0028508D" w:rsidP="0028508D">
      <w:pPr>
        <w:jc w:val="both"/>
        <w:rPr>
          <w:bCs/>
        </w:rPr>
      </w:pPr>
      <w:r w:rsidRPr="00EE0755">
        <w:rPr>
          <w:bCs/>
        </w:rPr>
        <w:t>Debrecen, 20</w:t>
      </w:r>
      <w:r w:rsidR="0081222C" w:rsidRPr="00EE0755">
        <w:rPr>
          <w:bCs/>
        </w:rPr>
        <w:t>23</w:t>
      </w:r>
      <w:r w:rsidRPr="00EE0755">
        <w:rPr>
          <w:bCs/>
        </w:rPr>
        <w:t>.</w:t>
      </w:r>
      <w:r w:rsidR="0081222C" w:rsidRPr="00EE0755">
        <w:rPr>
          <w:bCs/>
        </w:rPr>
        <w:t xml:space="preserve"> június 23</w:t>
      </w:r>
      <w:r w:rsidRPr="00EE0755">
        <w:rPr>
          <w:bCs/>
        </w:rPr>
        <w:t>.</w:t>
      </w:r>
    </w:p>
    <w:p w14:paraId="6CF58B0D" w14:textId="77777777" w:rsidR="0028508D" w:rsidRPr="003C6CF2" w:rsidRDefault="0028508D" w:rsidP="0028508D">
      <w:pPr>
        <w:jc w:val="both"/>
        <w:rPr>
          <w:b/>
          <w:bCs/>
        </w:rPr>
      </w:pP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</w:r>
      <w:r w:rsidRPr="00EE0755">
        <w:rPr>
          <w:b/>
          <w:bCs/>
        </w:rPr>
        <w:tab/>
        <w:t>Bulcsu László</w:t>
      </w:r>
    </w:p>
    <w:p w14:paraId="22E458AD" w14:textId="77777777" w:rsidR="0028508D" w:rsidRPr="003C6CF2" w:rsidRDefault="0028508D" w:rsidP="0028508D">
      <w:pPr>
        <w:jc w:val="both"/>
        <w:rPr>
          <w:b/>
          <w:bCs/>
        </w:rPr>
      </w:pP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</w:r>
      <w:r w:rsidRPr="003C6CF2">
        <w:rPr>
          <w:b/>
          <w:bCs/>
        </w:rPr>
        <w:tab/>
        <w:t xml:space="preserve">   </w:t>
      </w:r>
      <w:r>
        <w:rPr>
          <w:b/>
          <w:bCs/>
        </w:rPr>
        <w:t xml:space="preserve">  </w:t>
      </w:r>
      <w:r w:rsidRPr="003C6CF2">
        <w:rPr>
          <w:b/>
          <w:bCs/>
        </w:rPr>
        <w:t>alelnök</w:t>
      </w:r>
    </w:p>
    <w:p w14:paraId="2D2AAE81" w14:textId="77777777" w:rsidR="0028508D" w:rsidRPr="003C6CF2" w:rsidRDefault="0028508D" w:rsidP="0028508D">
      <w:pPr>
        <w:jc w:val="both"/>
      </w:pPr>
      <w:r w:rsidRPr="003C6CF2">
        <w:t>Az előterjesztés a törvényességi követelményeknek megfelel:</w:t>
      </w:r>
    </w:p>
    <w:p w14:paraId="5975538B" w14:textId="77777777" w:rsidR="0028508D" w:rsidRPr="003C6CF2" w:rsidRDefault="0028508D" w:rsidP="0028508D">
      <w:pPr>
        <w:jc w:val="both"/>
      </w:pPr>
    </w:p>
    <w:p w14:paraId="0512DCAF" w14:textId="77777777" w:rsidR="0028508D" w:rsidRPr="003C6CF2" w:rsidRDefault="0028508D" w:rsidP="0028508D">
      <w:pPr>
        <w:jc w:val="both"/>
      </w:pPr>
    </w:p>
    <w:p w14:paraId="3FA8C93E" w14:textId="50F122B5" w:rsidR="0028508D" w:rsidRPr="003C6CF2" w:rsidRDefault="0028508D" w:rsidP="0028508D">
      <w:pPr>
        <w:jc w:val="both"/>
      </w:pPr>
      <w:r w:rsidRPr="003C6CF2">
        <w:t xml:space="preserve">Dr. </w:t>
      </w:r>
      <w:r w:rsidR="00BE5FE6">
        <w:t>Dráviczky Gyöngyi</w:t>
      </w:r>
    </w:p>
    <w:p w14:paraId="493D14AF" w14:textId="0204B16F" w:rsidR="0028508D" w:rsidRDefault="0028508D" w:rsidP="0028508D">
      <w:pPr>
        <w:jc w:val="both"/>
      </w:pPr>
      <w:r w:rsidRPr="003C6CF2">
        <w:t xml:space="preserve">      j</w:t>
      </w:r>
      <w:r w:rsidR="00BE5FE6">
        <w:t>ogi ügyintéző</w:t>
      </w:r>
    </w:p>
    <w:p w14:paraId="474F4A27" w14:textId="77777777" w:rsidR="009A46D0" w:rsidRDefault="009A46D0"/>
    <w:sectPr w:rsidR="009A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5654" w14:textId="77777777" w:rsidR="00D14A43" w:rsidRDefault="00D14A43" w:rsidP="00D14A43">
      <w:r>
        <w:separator/>
      </w:r>
    </w:p>
  </w:endnote>
  <w:endnote w:type="continuationSeparator" w:id="0">
    <w:p w14:paraId="79342A44" w14:textId="77777777" w:rsidR="00D14A43" w:rsidRDefault="00D14A43" w:rsidP="00D1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340461"/>
      <w:docPartObj>
        <w:docPartGallery w:val="Page Numbers (Bottom of Page)"/>
        <w:docPartUnique/>
      </w:docPartObj>
    </w:sdtPr>
    <w:sdtEndPr/>
    <w:sdtContent>
      <w:p w14:paraId="4A3E65E7" w14:textId="77777777" w:rsidR="00D14A43" w:rsidRDefault="00D14A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81B92" w14:textId="77777777" w:rsidR="00D14A43" w:rsidRDefault="00D14A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39F4" w14:textId="77777777" w:rsidR="00D14A43" w:rsidRDefault="00D14A43" w:rsidP="00D14A43">
      <w:r>
        <w:separator/>
      </w:r>
    </w:p>
  </w:footnote>
  <w:footnote w:type="continuationSeparator" w:id="0">
    <w:p w14:paraId="676C8157" w14:textId="77777777" w:rsidR="00D14A43" w:rsidRDefault="00D14A43" w:rsidP="00D1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12C"/>
    <w:multiLevelType w:val="hybridMultilevel"/>
    <w:tmpl w:val="849A6FB4"/>
    <w:lvl w:ilvl="0" w:tplc="040E0011">
      <w:start w:val="1"/>
      <w:numFmt w:val="decimal"/>
      <w:lvlText w:val="%1)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0F2B55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A6C"/>
    <w:multiLevelType w:val="hybridMultilevel"/>
    <w:tmpl w:val="E53CADE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186"/>
    <w:multiLevelType w:val="hybridMultilevel"/>
    <w:tmpl w:val="85185A38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16DC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0DD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8DD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281D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F57"/>
    <w:multiLevelType w:val="hybridMultilevel"/>
    <w:tmpl w:val="E63C33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1487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A08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ECE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13439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E15E8"/>
    <w:multiLevelType w:val="hybridMultilevel"/>
    <w:tmpl w:val="45CAB7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1DE4"/>
    <w:multiLevelType w:val="hybridMultilevel"/>
    <w:tmpl w:val="D5C44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5B17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D0957"/>
    <w:multiLevelType w:val="hybridMultilevel"/>
    <w:tmpl w:val="FA1A70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C6D1A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92EFD"/>
    <w:multiLevelType w:val="hybridMultilevel"/>
    <w:tmpl w:val="C5FE4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FD3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8D5"/>
    <w:multiLevelType w:val="hybridMultilevel"/>
    <w:tmpl w:val="00C6F8DA"/>
    <w:lvl w:ilvl="0" w:tplc="4E7AF31C">
      <w:start w:val="20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378EC"/>
    <w:multiLevelType w:val="hybridMultilevel"/>
    <w:tmpl w:val="8D50DA6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C544E0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25F49"/>
    <w:multiLevelType w:val="hybridMultilevel"/>
    <w:tmpl w:val="58869D66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B4C48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7245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1485">
    <w:abstractNumId w:val="20"/>
  </w:num>
  <w:num w:numId="2" w16cid:durableId="939602651">
    <w:abstractNumId w:val="2"/>
  </w:num>
  <w:num w:numId="3" w16cid:durableId="695279206">
    <w:abstractNumId w:val="3"/>
  </w:num>
  <w:num w:numId="4" w16cid:durableId="1540240052">
    <w:abstractNumId w:val="23"/>
  </w:num>
  <w:num w:numId="5" w16cid:durableId="313725108">
    <w:abstractNumId w:val="14"/>
  </w:num>
  <w:num w:numId="6" w16cid:durableId="876046647">
    <w:abstractNumId w:val="24"/>
  </w:num>
  <w:num w:numId="7" w16cid:durableId="1843666358">
    <w:abstractNumId w:val="10"/>
  </w:num>
  <w:num w:numId="8" w16cid:durableId="152373794">
    <w:abstractNumId w:val="1"/>
  </w:num>
  <w:num w:numId="9" w16cid:durableId="1102145940">
    <w:abstractNumId w:val="15"/>
  </w:num>
  <w:num w:numId="10" w16cid:durableId="693044461">
    <w:abstractNumId w:val="11"/>
  </w:num>
  <w:num w:numId="11" w16cid:durableId="762456929">
    <w:abstractNumId w:val="4"/>
  </w:num>
  <w:num w:numId="12" w16cid:durableId="1062944676">
    <w:abstractNumId w:val="12"/>
  </w:num>
  <w:num w:numId="13" w16cid:durableId="1464540141">
    <w:abstractNumId w:val="5"/>
  </w:num>
  <w:num w:numId="14" w16cid:durableId="532226971">
    <w:abstractNumId w:val="7"/>
  </w:num>
  <w:num w:numId="15" w16cid:durableId="411896865">
    <w:abstractNumId w:val="22"/>
  </w:num>
  <w:num w:numId="16" w16cid:durableId="754592834">
    <w:abstractNumId w:val="9"/>
  </w:num>
  <w:num w:numId="17" w16cid:durableId="2080594298">
    <w:abstractNumId w:val="6"/>
  </w:num>
  <w:num w:numId="18" w16cid:durableId="47926268">
    <w:abstractNumId w:val="25"/>
  </w:num>
  <w:num w:numId="19" w16cid:durableId="1014501684">
    <w:abstractNumId w:val="17"/>
  </w:num>
  <w:num w:numId="20" w16cid:durableId="682973804">
    <w:abstractNumId w:val="19"/>
  </w:num>
  <w:num w:numId="21" w16cid:durableId="1834222761">
    <w:abstractNumId w:val="8"/>
  </w:num>
  <w:num w:numId="22" w16cid:durableId="1218201844">
    <w:abstractNumId w:val="0"/>
  </w:num>
  <w:num w:numId="23" w16cid:durableId="1390109481">
    <w:abstractNumId w:val="18"/>
  </w:num>
  <w:num w:numId="24" w16cid:durableId="51972081">
    <w:abstractNumId w:val="13"/>
  </w:num>
  <w:num w:numId="25" w16cid:durableId="2002728955">
    <w:abstractNumId w:val="16"/>
  </w:num>
  <w:num w:numId="26" w16cid:durableId="21224098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D"/>
    <w:rsid w:val="00047CCC"/>
    <w:rsid w:val="000A14CA"/>
    <w:rsid w:val="000C6A16"/>
    <w:rsid w:val="000E7A12"/>
    <w:rsid w:val="000F6366"/>
    <w:rsid w:val="0013746B"/>
    <w:rsid w:val="00154586"/>
    <w:rsid w:val="0017271C"/>
    <w:rsid w:val="001765DF"/>
    <w:rsid w:val="00197D25"/>
    <w:rsid w:val="001A1000"/>
    <w:rsid w:val="00216AFF"/>
    <w:rsid w:val="00240998"/>
    <w:rsid w:val="00264C3D"/>
    <w:rsid w:val="0028508D"/>
    <w:rsid w:val="00296570"/>
    <w:rsid w:val="002A275D"/>
    <w:rsid w:val="002B3CE7"/>
    <w:rsid w:val="002B432A"/>
    <w:rsid w:val="002C18FA"/>
    <w:rsid w:val="002D1A93"/>
    <w:rsid w:val="003155B3"/>
    <w:rsid w:val="00350821"/>
    <w:rsid w:val="00355508"/>
    <w:rsid w:val="00376A74"/>
    <w:rsid w:val="003C37F2"/>
    <w:rsid w:val="004007D0"/>
    <w:rsid w:val="004753A7"/>
    <w:rsid w:val="004853C9"/>
    <w:rsid w:val="004A5EB3"/>
    <w:rsid w:val="005C4ED5"/>
    <w:rsid w:val="005D311B"/>
    <w:rsid w:val="005F240B"/>
    <w:rsid w:val="005F46D5"/>
    <w:rsid w:val="006B6CE3"/>
    <w:rsid w:val="006C204E"/>
    <w:rsid w:val="006D4F87"/>
    <w:rsid w:val="007327E4"/>
    <w:rsid w:val="00762D05"/>
    <w:rsid w:val="00791495"/>
    <w:rsid w:val="0081222C"/>
    <w:rsid w:val="00854C3A"/>
    <w:rsid w:val="008573FE"/>
    <w:rsid w:val="00881D7F"/>
    <w:rsid w:val="008D52E2"/>
    <w:rsid w:val="0095758B"/>
    <w:rsid w:val="009A46D0"/>
    <w:rsid w:val="009C69E1"/>
    <w:rsid w:val="009D0585"/>
    <w:rsid w:val="00A4036A"/>
    <w:rsid w:val="00A7106F"/>
    <w:rsid w:val="00A71103"/>
    <w:rsid w:val="00AA4FD4"/>
    <w:rsid w:val="00AB3457"/>
    <w:rsid w:val="00B408A0"/>
    <w:rsid w:val="00B61095"/>
    <w:rsid w:val="00B66366"/>
    <w:rsid w:val="00BE5FE6"/>
    <w:rsid w:val="00C41FB7"/>
    <w:rsid w:val="00C76E93"/>
    <w:rsid w:val="00C910C6"/>
    <w:rsid w:val="00CB337B"/>
    <w:rsid w:val="00D14A43"/>
    <w:rsid w:val="00D30EDA"/>
    <w:rsid w:val="00D452DD"/>
    <w:rsid w:val="00D708E7"/>
    <w:rsid w:val="00D767EF"/>
    <w:rsid w:val="00D82C3B"/>
    <w:rsid w:val="00D84CA5"/>
    <w:rsid w:val="00DA2D18"/>
    <w:rsid w:val="00DC1E2A"/>
    <w:rsid w:val="00DD4EA3"/>
    <w:rsid w:val="00E06546"/>
    <w:rsid w:val="00E16BE7"/>
    <w:rsid w:val="00E300D3"/>
    <w:rsid w:val="00E404B7"/>
    <w:rsid w:val="00E425D8"/>
    <w:rsid w:val="00E4572E"/>
    <w:rsid w:val="00E57E88"/>
    <w:rsid w:val="00E71948"/>
    <w:rsid w:val="00EE0755"/>
    <w:rsid w:val="00F1273F"/>
    <w:rsid w:val="00F67D63"/>
    <w:rsid w:val="00F7260A"/>
    <w:rsid w:val="00F9196A"/>
    <w:rsid w:val="00FA28A1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9224"/>
  <w15:chartTrackingRefBased/>
  <w15:docId w15:val="{F9EA742E-E79C-4013-AD5D-FD3BAF2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0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2850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50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508D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28508D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47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14A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A4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Vltozat">
    <w:name w:val="Revision"/>
    <w:hidden/>
    <w:uiPriority w:val="99"/>
    <w:semiHidden/>
    <w:rsid w:val="005F24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ED0C-BC10-4B04-A48C-F27F1C2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2263</Words>
  <Characters>15621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dobi.csaba</cp:lastModifiedBy>
  <cp:revision>20</cp:revision>
  <cp:lastPrinted>2023-06-22T10:56:00Z</cp:lastPrinted>
  <dcterms:created xsi:type="dcterms:W3CDTF">2023-06-23T09:37:00Z</dcterms:created>
  <dcterms:modified xsi:type="dcterms:W3CDTF">2023-06-23T16:15:00Z</dcterms:modified>
</cp:coreProperties>
</file>