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6" w:type="dxa"/>
        <w:jc w:val="center"/>
        <w:tblLayout w:type="fixed"/>
        <w:tblCellMar>
          <w:left w:w="10" w:type="dxa"/>
          <w:right w:w="10" w:type="dxa"/>
        </w:tblCellMar>
        <w:tblLook w:val="0000" w:firstRow="0" w:lastRow="0" w:firstColumn="0" w:lastColumn="0" w:noHBand="0" w:noVBand="0"/>
      </w:tblPr>
      <w:tblGrid>
        <w:gridCol w:w="1838"/>
        <w:gridCol w:w="7938"/>
      </w:tblGrid>
      <w:tr w:rsidR="003B31ED" w:rsidRPr="00635A6A" w14:paraId="1569ECC3" w14:textId="77777777" w:rsidTr="000142AA">
        <w:trPr>
          <w:trHeight w:val="1267"/>
          <w:jc w:val="center"/>
        </w:trPr>
        <w:tc>
          <w:tcPr>
            <w:tcW w:w="1838" w:type="dxa"/>
            <w:shd w:val="clear" w:color="auto" w:fill="auto"/>
            <w:tcMar>
              <w:top w:w="0" w:type="dxa"/>
              <w:left w:w="108" w:type="dxa"/>
              <w:bottom w:w="0" w:type="dxa"/>
              <w:right w:w="108" w:type="dxa"/>
            </w:tcMar>
          </w:tcPr>
          <w:p w14:paraId="55AD4AB7" w14:textId="77777777" w:rsidR="003B31ED" w:rsidRPr="00635A6A" w:rsidRDefault="00641AB2">
            <w:pPr>
              <w:pStyle w:val="lfej"/>
              <w:tabs>
                <w:tab w:val="clear" w:pos="4536"/>
                <w:tab w:val="left" w:pos="0"/>
                <w:tab w:val="center" w:pos="5220"/>
              </w:tabs>
              <w:jc w:val="both"/>
              <w:rPr>
                <w:smallCaps/>
                <w:spacing w:val="20"/>
                <w:sz w:val="28"/>
                <w:szCs w:val="28"/>
              </w:rPr>
            </w:pPr>
            <w:r w:rsidRPr="00635A6A">
              <w:rPr>
                <w:smallCaps/>
                <w:noProof/>
                <w:spacing w:val="20"/>
                <w:sz w:val="28"/>
                <w:szCs w:val="28"/>
              </w:rPr>
              <w:drawing>
                <wp:anchor distT="0" distB="0" distL="114300" distR="114300" simplePos="0" relativeHeight="251658240" behindDoc="0" locked="0" layoutInCell="1" allowOverlap="1" wp14:anchorId="3ED848C7" wp14:editId="0A6CCC0B">
                  <wp:simplePos x="0" y="0"/>
                  <wp:positionH relativeFrom="column">
                    <wp:posOffset>-1800</wp:posOffset>
                  </wp:positionH>
                  <wp:positionV relativeFrom="paragraph">
                    <wp:posOffset>-705960</wp:posOffset>
                  </wp:positionV>
                  <wp:extent cx="1149480" cy="812880"/>
                  <wp:effectExtent l="0" t="0" r="0" b="6270"/>
                  <wp:wrapSquare wrapText="bothSides"/>
                  <wp:docPr id="2" name="Kép 1" descr="ujmegy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49480" cy="812880"/>
                          </a:xfrm>
                          <a:prstGeom prst="rect">
                            <a:avLst/>
                          </a:prstGeom>
                          <a:noFill/>
                          <a:ln>
                            <a:noFill/>
                            <a:prstDash/>
                          </a:ln>
                        </pic:spPr>
                      </pic:pic>
                    </a:graphicData>
                  </a:graphic>
                </wp:anchor>
              </w:drawing>
            </w:r>
          </w:p>
        </w:tc>
        <w:tc>
          <w:tcPr>
            <w:tcW w:w="7938" w:type="dxa"/>
            <w:shd w:val="clear" w:color="auto" w:fill="auto"/>
            <w:tcMar>
              <w:top w:w="0" w:type="dxa"/>
              <w:left w:w="108" w:type="dxa"/>
              <w:bottom w:w="0" w:type="dxa"/>
              <w:right w:w="108" w:type="dxa"/>
            </w:tcMar>
            <w:vAlign w:val="center"/>
          </w:tcPr>
          <w:p w14:paraId="74183CD9" w14:textId="01A56183" w:rsidR="003B31ED" w:rsidRPr="00635A6A" w:rsidRDefault="00641AB2">
            <w:pPr>
              <w:pStyle w:val="lfej"/>
              <w:tabs>
                <w:tab w:val="clear" w:pos="4536"/>
                <w:tab w:val="left" w:pos="0"/>
                <w:tab w:val="center" w:pos="5220"/>
              </w:tabs>
              <w:jc w:val="center"/>
            </w:pPr>
            <w:r w:rsidRPr="00635A6A">
              <w:rPr>
                <w:smallCaps/>
                <w:spacing w:val="20"/>
                <w:sz w:val="32"/>
                <w:szCs w:val="32"/>
              </w:rPr>
              <w:t xml:space="preserve">Hajdú-Bihar Vármegye </w:t>
            </w:r>
            <w:r w:rsidR="00D631E2" w:rsidRPr="00635A6A">
              <w:rPr>
                <w:smallCaps/>
                <w:spacing w:val="20"/>
                <w:sz w:val="32"/>
                <w:szCs w:val="32"/>
              </w:rPr>
              <w:t>Ö</w:t>
            </w:r>
            <w:r w:rsidRPr="00635A6A">
              <w:rPr>
                <w:smallCaps/>
                <w:spacing w:val="20"/>
                <w:sz w:val="32"/>
                <w:szCs w:val="32"/>
              </w:rPr>
              <w:t>nkormányzat</w:t>
            </w:r>
            <w:r w:rsidR="00E6596D" w:rsidRPr="00635A6A">
              <w:rPr>
                <w:smallCaps/>
                <w:spacing w:val="20"/>
                <w:sz w:val="32"/>
                <w:szCs w:val="32"/>
              </w:rPr>
              <w:t>a</w:t>
            </w:r>
          </w:p>
          <w:p w14:paraId="60E34006" w14:textId="77777777" w:rsidR="003B31ED" w:rsidRPr="00635A6A" w:rsidRDefault="00641AB2">
            <w:pPr>
              <w:pStyle w:val="lfej"/>
              <w:tabs>
                <w:tab w:val="clear" w:pos="4536"/>
                <w:tab w:val="left" w:pos="0"/>
                <w:tab w:val="center" w:pos="5220"/>
              </w:tabs>
              <w:jc w:val="center"/>
            </w:pPr>
            <w:r w:rsidRPr="00635A6A">
              <w:rPr>
                <w:smallCaps/>
                <w:spacing w:val="20"/>
                <w:sz w:val="32"/>
                <w:szCs w:val="32"/>
              </w:rPr>
              <w:t>Közgyűlése</w:t>
            </w:r>
          </w:p>
          <w:p w14:paraId="091C154D" w14:textId="77777777" w:rsidR="003B31ED" w:rsidRPr="00635A6A" w:rsidRDefault="003B31ED">
            <w:pPr>
              <w:pStyle w:val="lfej"/>
              <w:tabs>
                <w:tab w:val="clear" w:pos="4536"/>
                <w:tab w:val="left" w:pos="0"/>
                <w:tab w:val="center" w:pos="5220"/>
              </w:tabs>
              <w:jc w:val="center"/>
              <w:rPr>
                <w:sz w:val="32"/>
                <w:szCs w:val="32"/>
              </w:rPr>
            </w:pPr>
          </w:p>
        </w:tc>
      </w:tr>
    </w:tbl>
    <w:p w14:paraId="1BACBAC0" w14:textId="77777777" w:rsidR="003B31ED" w:rsidRPr="00635A6A" w:rsidRDefault="003B31ED">
      <w:pPr>
        <w:pStyle w:val="Standard"/>
        <w:jc w:val="right"/>
        <w:rPr>
          <w:b/>
          <w:sz w:val="28"/>
          <w:szCs w:val="28"/>
        </w:rPr>
      </w:pPr>
    </w:p>
    <w:tbl>
      <w:tblPr>
        <w:tblW w:w="8930" w:type="dxa"/>
        <w:tblLayout w:type="fixed"/>
        <w:tblCellMar>
          <w:left w:w="10" w:type="dxa"/>
          <w:right w:w="10" w:type="dxa"/>
        </w:tblCellMar>
        <w:tblLook w:val="0000" w:firstRow="0" w:lastRow="0" w:firstColumn="0" w:lastColumn="0" w:noHBand="0" w:noVBand="0"/>
      </w:tblPr>
      <w:tblGrid>
        <w:gridCol w:w="8403"/>
        <w:gridCol w:w="527"/>
      </w:tblGrid>
      <w:tr w:rsidR="00160FB1" w:rsidRPr="00635A6A" w14:paraId="7623DF0F" w14:textId="77777777">
        <w:tc>
          <w:tcPr>
            <w:tcW w:w="8402" w:type="dxa"/>
            <w:shd w:val="clear" w:color="auto" w:fill="auto"/>
            <w:tcMar>
              <w:top w:w="0" w:type="dxa"/>
              <w:left w:w="108" w:type="dxa"/>
              <w:bottom w:w="0" w:type="dxa"/>
              <w:right w:w="108" w:type="dxa"/>
            </w:tcMar>
          </w:tcPr>
          <w:p w14:paraId="4C851D48" w14:textId="77777777" w:rsidR="003B31ED" w:rsidRPr="00635A6A" w:rsidRDefault="00641AB2">
            <w:pPr>
              <w:pStyle w:val="Standard"/>
              <w:jc w:val="center"/>
            </w:pPr>
            <w:r w:rsidRPr="00635A6A">
              <w:rPr>
                <w:b/>
                <w:spacing w:val="50"/>
                <w:sz w:val="32"/>
                <w:szCs w:val="32"/>
              </w:rPr>
              <w:t>KÖZGYŰLÉSI ELŐTERJESZTÉS</w:t>
            </w:r>
          </w:p>
        </w:tc>
        <w:tc>
          <w:tcPr>
            <w:tcW w:w="527" w:type="dxa"/>
            <w:shd w:val="clear" w:color="auto" w:fill="auto"/>
            <w:tcMar>
              <w:top w:w="0" w:type="dxa"/>
              <w:left w:w="108" w:type="dxa"/>
              <w:bottom w:w="0" w:type="dxa"/>
              <w:right w:w="108" w:type="dxa"/>
            </w:tcMar>
          </w:tcPr>
          <w:p w14:paraId="29C14294" w14:textId="761C3688" w:rsidR="003B31ED" w:rsidRPr="00635A6A" w:rsidRDefault="001A2511">
            <w:pPr>
              <w:pStyle w:val="Standard"/>
              <w:jc w:val="right"/>
              <w:rPr>
                <w:color w:val="FF0000"/>
              </w:rPr>
            </w:pPr>
            <w:r>
              <w:rPr>
                <w:b/>
                <w:sz w:val="32"/>
                <w:szCs w:val="32"/>
              </w:rPr>
              <w:t>2</w:t>
            </w:r>
            <w:r w:rsidR="00686A04" w:rsidRPr="00635A6A">
              <w:rPr>
                <w:b/>
                <w:sz w:val="32"/>
                <w:szCs w:val="32"/>
              </w:rPr>
              <w:t>.</w:t>
            </w:r>
          </w:p>
        </w:tc>
      </w:tr>
      <w:tr w:rsidR="00686A04" w:rsidRPr="00635A6A" w14:paraId="62B6C1A8" w14:textId="77777777">
        <w:tc>
          <w:tcPr>
            <w:tcW w:w="8402" w:type="dxa"/>
            <w:shd w:val="clear" w:color="auto" w:fill="auto"/>
            <w:tcMar>
              <w:top w:w="0" w:type="dxa"/>
              <w:left w:w="108" w:type="dxa"/>
              <w:bottom w:w="0" w:type="dxa"/>
              <w:right w:w="108" w:type="dxa"/>
            </w:tcMar>
          </w:tcPr>
          <w:p w14:paraId="7663A355" w14:textId="77777777" w:rsidR="00686A04" w:rsidRPr="00635A6A" w:rsidRDefault="00686A04">
            <w:pPr>
              <w:pStyle w:val="Standard"/>
              <w:jc w:val="center"/>
              <w:rPr>
                <w:b/>
                <w:spacing w:val="50"/>
                <w:sz w:val="32"/>
                <w:szCs w:val="32"/>
              </w:rPr>
            </w:pPr>
          </w:p>
        </w:tc>
        <w:tc>
          <w:tcPr>
            <w:tcW w:w="527" w:type="dxa"/>
            <w:shd w:val="clear" w:color="auto" w:fill="auto"/>
            <w:tcMar>
              <w:top w:w="0" w:type="dxa"/>
              <w:left w:w="108" w:type="dxa"/>
              <w:bottom w:w="0" w:type="dxa"/>
              <w:right w:w="108" w:type="dxa"/>
            </w:tcMar>
          </w:tcPr>
          <w:p w14:paraId="677DDDE6" w14:textId="77777777" w:rsidR="00686A04" w:rsidRPr="00635A6A" w:rsidRDefault="00686A04">
            <w:pPr>
              <w:pStyle w:val="Standard"/>
              <w:jc w:val="right"/>
              <w:rPr>
                <w:b/>
                <w:color w:val="FF0000"/>
                <w:sz w:val="32"/>
                <w:szCs w:val="32"/>
              </w:rPr>
            </w:pPr>
          </w:p>
        </w:tc>
      </w:tr>
    </w:tbl>
    <w:p w14:paraId="59314499" w14:textId="77777777" w:rsidR="003B31ED" w:rsidRPr="00635A6A" w:rsidRDefault="003B31ED">
      <w:pPr>
        <w:pStyle w:val="Standard"/>
        <w:jc w:val="center"/>
        <w:rPr>
          <w:b/>
        </w:rPr>
      </w:pPr>
    </w:p>
    <w:tbl>
      <w:tblPr>
        <w:tblW w:w="8920" w:type="dxa"/>
        <w:jc w:val="center"/>
        <w:tblLayout w:type="fixed"/>
        <w:tblCellMar>
          <w:left w:w="10" w:type="dxa"/>
          <w:right w:w="10" w:type="dxa"/>
        </w:tblCellMar>
        <w:tblLook w:val="0000" w:firstRow="0" w:lastRow="0" w:firstColumn="0" w:lastColumn="0" w:noHBand="0" w:noVBand="0"/>
      </w:tblPr>
      <w:tblGrid>
        <w:gridCol w:w="1980"/>
        <w:gridCol w:w="6940"/>
      </w:tblGrid>
      <w:tr w:rsidR="003B31ED" w:rsidRPr="00635A6A" w14:paraId="17E19007" w14:textId="77777777">
        <w:trPr>
          <w:trHeight w:val="125"/>
          <w:jc w:val="center"/>
        </w:trPr>
        <w:tc>
          <w:tcPr>
            <w:tcW w:w="1980" w:type="dxa"/>
            <w:shd w:val="clear" w:color="auto" w:fill="auto"/>
            <w:tcMar>
              <w:top w:w="0" w:type="dxa"/>
              <w:left w:w="108" w:type="dxa"/>
              <w:bottom w:w="0" w:type="dxa"/>
              <w:right w:w="108" w:type="dxa"/>
            </w:tcMar>
            <w:vAlign w:val="center"/>
          </w:tcPr>
          <w:p w14:paraId="52218F0D" w14:textId="77777777" w:rsidR="003B31ED" w:rsidRPr="00635A6A" w:rsidRDefault="00641AB2">
            <w:pPr>
              <w:pStyle w:val="Standard"/>
              <w:jc w:val="both"/>
            </w:pPr>
            <w:r w:rsidRPr="00635A6A">
              <w:rPr>
                <w:b/>
                <w:sz w:val="26"/>
                <w:szCs w:val="26"/>
              </w:rPr>
              <w:t>Előterjesztő:</w:t>
            </w:r>
          </w:p>
        </w:tc>
        <w:tc>
          <w:tcPr>
            <w:tcW w:w="6939" w:type="dxa"/>
            <w:shd w:val="clear" w:color="auto" w:fill="auto"/>
            <w:tcMar>
              <w:top w:w="0" w:type="dxa"/>
              <w:left w:w="108" w:type="dxa"/>
              <w:bottom w:w="0" w:type="dxa"/>
              <w:right w:w="108" w:type="dxa"/>
            </w:tcMar>
            <w:vAlign w:val="center"/>
          </w:tcPr>
          <w:p w14:paraId="6C79CE05" w14:textId="77777777" w:rsidR="003B31ED" w:rsidRPr="00635A6A" w:rsidRDefault="00641AB2">
            <w:pPr>
              <w:pStyle w:val="Standard"/>
              <w:jc w:val="both"/>
            </w:pPr>
            <w:r w:rsidRPr="00635A6A">
              <w:rPr>
                <w:sz w:val="26"/>
                <w:szCs w:val="26"/>
              </w:rPr>
              <w:t>Pajna Zoltán, a Közgyűlés elnöke</w:t>
            </w:r>
          </w:p>
        </w:tc>
      </w:tr>
      <w:tr w:rsidR="003B31ED" w:rsidRPr="00635A6A" w14:paraId="53556B5E" w14:textId="77777777">
        <w:trPr>
          <w:trHeight w:val="782"/>
          <w:jc w:val="center"/>
        </w:trPr>
        <w:tc>
          <w:tcPr>
            <w:tcW w:w="1980" w:type="dxa"/>
            <w:shd w:val="clear" w:color="auto" w:fill="auto"/>
            <w:tcMar>
              <w:top w:w="0" w:type="dxa"/>
              <w:left w:w="108" w:type="dxa"/>
              <w:bottom w:w="0" w:type="dxa"/>
              <w:right w:w="108" w:type="dxa"/>
            </w:tcMar>
            <w:vAlign w:val="center"/>
          </w:tcPr>
          <w:p w14:paraId="435F19E9" w14:textId="77777777" w:rsidR="003B31ED" w:rsidRPr="00635A6A" w:rsidRDefault="00641AB2">
            <w:pPr>
              <w:pStyle w:val="Standard"/>
              <w:jc w:val="both"/>
            </w:pPr>
            <w:r w:rsidRPr="00635A6A">
              <w:rPr>
                <w:b/>
                <w:sz w:val="26"/>
                <w:szCs w:val="26"/>
              </w:rPr>
              <w:t>Tárgy:</w:t>
            </w:r>
          </w:p>
        </w:tc>
        <w:tc>
          <w:tcPr>
            <w:tcW w:w="6939" w:type="dxa"/>
            <w:shd w:val="clear" w:color="auto" w:fill="auto"/>
            <w:tcMar>
              <w:top w:w="0" w:type="dxa"/>
              <w:left w:w="108" w:type="dxa"/>
              <w:bottom w:w="0" w:type="dxa"/>
              <w:right w:w="108" w:type="dxa"/>
            </w:tcMar>
            <w:vAlign w:val="center"/>
          </w:tcPr>
          <w:p w14:paraId="3271D06B" w14:textId="79437811" w:rsidR="003B31ED" w:rsidRPr="00635A6A" w:rsidRDefault="00641AB2">
            <w:pPr>
              <w:pStyle w:val="Standard"/>
              <w:jc w:val="both"/>
            </w:pPr>
            <w:r w:rsidRPr="00635A6A">
              <w:rPr>
                <w:sz w:val="26"/>
                <w:szCs w:val="26"/>
              </w:rPr>
              <w:t>Hajdú-B</w:t>
            </w:r>
            <w:r w:rsidR="00160FB1" w:rsidRPr="00635A6A">
              <w:rPr>
                <w:sz w:val="26"/>
                <w:szCs w:val="26"/>
              </w:rPr>
              <w:t>ihar Vármegye Önkormányzata 202</w:t>
            </w:r>
            <w:r w:rsidR="00AB08BA" w:rsidRPr="00635A6A">
              <w:rPr>
                <w:sz w:val="26"/>
                <w:szCs w:val="26"/>
              </w:rPr>
              <w:t>5</w:t>
            </w:r>
            <w:r w:rsidRPr="00635A6A">
              <w:rPr>
                <w:sz w:val="26"/>
                <w:szCs w:val="26"/>
              </w:rPr>
              <w:t>. évi költségvetési rendeletének elfogadása</w:t>
            </w:r>
          </w:p>
        </w:tc>
      </w:tr>
      <w:tr w:rsidR="003B31ED" w:rsidRPr="00635A6A" w14:paraId="0BD4C2F0" w14:textId="77777777">
        <w:trPr>
          <w:trHeight w:val="9015"/>
          <w:jc w:val="center"/>
        </w:trPr>
        <w:tc>
          <w:tcPr>
            <w:tcW w:w="1980" w:type="dxa"/>
            <w:shd w:val="clear" w:color="auto" w:fill="auto"/>
            <w:tcMar>
              <w:top w:w="0" w:type="dxa"/>
              <w:left w:w="108" w:type="dxa"/>
              <w:bottom w:w="0" w:type="dxa"/>
              <w:right w:w="108" w:type="dxa"/>
            </w:tcMar>
          </w:tcPr>
          <w:p w14:paraId="0F04CE77" w14:textId="77777777" w:rsidR="003B31ED" w:rsidRPr="00635A6A" w:rsidRDefault="00641AB2">
            <w:pPr>
              <w:pStyle w:val="Standard"/>
              <w:jc w:val="both"/>
            </w:pPr>
            <w:r w:rsidRPr="00635A6A">
              <w:rPr>
                <w:b/>
                <w:sz w:val="26"/>
                <w:szCs w:val="26"/>
              </w:rPr>
              <w:t>Mellékletek:</w:t>
            </w:r>
          </w:p>
        </w:tc>
        <w:tc>
          <w:tcPr>
            <w:tcW w:w="6939" w:type="dxa"/>
            <w:shd w:val="clear" w:color="auto" w:fill="auto"/>
            <w:tcMar>
              <w:top w:w="0" w:type="dxa"/>
              <w:left w:w="108" w:type="dxa"/>
              <w:bottom w:w="0" w:type="dxa"/>
              <w:right w:w="108" w:type="dxa"/>
            </w:tcMar>
          </w:tcPr>
          <w:p w14:paraId="4671727D" w14:textId="77777777" w:rsidR="003B31ED" w:rsidRPr="00635A6A" w:rsidRDefault="00641AB2">
            <w:pPr>
              <w:pStyle w:val="Standard"/>
            </w:pPr>
            <w:r w:rsidRPr="00635A6A">
              <w:rPr>
                <w:sz w:val="26"/>
                <w:szCs w:val="26"/>
              </w:rPr>
              <w:t>(Rendelet-tervezet mellékletei)</w:t>
            </w:r>
          </w:p>
          <w:p w14:paraId="0941F54A" w14:textId="77777777" w:rsidR="003B31ED" w:rsidRPr="00635A6A" w:rsidRDefault="00641AB2">
            <w:pPr>
              <w:pStyle w:val="Standard"/>
            </w:pPr>
            <w:r w:rsidRPr="00635A6A">
              <w:rPr>
                <w:sz w:val="26"/>
                <w:szCs w:val="26"/>
              </w:rPr>
              <w:t>1. összevont költségvetési mérleg</w:t>
            </w:r>
          </w:p>
          <w:p w14:paraId="426BBD1F" w14:textId="77777777" w:rsidR="003B31ED" w:rsidRPr="00635A6A" w:rsidRDefault="00641AB2">
            <w:pPr>
              <w:pStyle w:val="Standard"/>
            </w:pPr>
            <w:r w:rsidRPr="00635A6A">
              <w:rPr>
                <w:sz w:val="26"/>
                <w:szCs w:val="26"/>
              </w:rPr>
              <w:t>2. önkormányzat költségvetési mérlege</w:t>
            </w:r>
          </w:p>
          <w:p w14:paraId="3A4332AB" w14:textId="77777777" w:rsidR="003B31ED" w:rsidRPr="00635A6A" w:rsidRDefault="00641AB2">
            <w:pPr>
              <w:pStyle w:val="Standard"/>
            </w:pPr>
            <w:r w:rsidRPr="00635A6A">
              <w:rPr>
                <w:sz w:val="26"/>
                <w:szCs w:val="26"/>
              </w:rPr>
              <w:t>3. önkormányzati hivatal költségvetési mérlege</w:t>
            </w:r>
          </w:p>
          <w:p w14:paraId="3EFB8CE2" w14:textId="77777777" w:rsidR="003B31ED" w:rsidRPr="00635A6A" w:rsidRDefault="00641AB2">
            <w:pPr>
              <w:pStyle w:val="Standard"/>
            </w:pPr>
            <w:r w:rsidRPr="00635A6A">
              <w:rPr>
                <w:sz w:val="26"/>
                <w:szCs w:val="26"/>
              </w:rPr>
              <w:t>4. európai uniós forrásból finanszírozott támogatással megvalósuló projektek bevételei és kiadásai</w:t>
            </w:r>
          </w:p>
          <w:p w14:paraId="53588DDF" w14:textId="77777777" w:rsidR="003B31ED" w:rsidRPr="00635A6A" w:rsidRDefault="00641AB2">
            <w:pPr>
              <w:pStyle w:val="Standard"/>
            </w:pPr>
            <w:r w:rsidRPr="00635A6A">
              <w:rPr>
                <w:sz w:val="26"/>
                <w:szCs w:val="26"/>
              </w:rPr>
              <w:t>5. európai uniós forrásból finanszírozott támogatással megvalósuló projektek bevételei – részletes költségvetés</w:t>
            </w:r>
          </w:p>
          <w:p w14:paraId="074780B4" w14:textId="77777777" w:rsidR="003B31ED" w:rsidRPr="00635A6A" w:rsidRDefault="00641AB2">
            <w:pPr>
              <w:pStyle w:val="Standard"/>
            </w:pPr>
            <w:r w:rsidRPr="00635A6A">
              <w:rPr>
                <w:sz w:val="26"/>
                <w:szCs w:val="26"/>
              </w:rPr>
              <w:t>6. európai uniós forrásból finanszírozott támogatással megvalósuló projektek kiadásai – részletes költségvetés</w:t>
            </w:r>
          </w:p>
          <w:p w14:paraId="5D2120F4" w14:textId="77777777" w:rsidR="003B31ED" w:rsidRPr="00635A6A" w:rsidRDefault="00641AB2">
            <w:pPr>
              <w:pStyle w:val="Standard"/>
            </w:pPr>
            <w:r w:rsidRPr="00635A6A">
              <w:rPr>
                <w:sz w:val="26"/>
                <w:szCs w:val="26"/>
              </w:rPr>
              <w:t>7. önként vállalt feladatok</w:t>
            </w:r>
          </w:p>
          <w:p w14:paraId="5AFA06E2" w14:textId="77777777" w:rsidR="003B31ED" w:rsidRPr="00635A6A" w:rsidRDefault="00641AB2">
            <w:pPr>
              <w:pStyle w:val="Standard"/>
            </w:pPr>
            <w:r w:rsidRPr="00635A6A">
              <w:rPr>
                <w:sz w:val="26"/>
                <w:szCs w:val="26"/>
              </w:rPr>
              <w:t>8. működési célú támogatások államháztartáson belülre és kívülre</w:t>
            </w:r>
          </w:p>
          <w:p w14:paraId="44E6E890" w14:textId="77777777" w:rsidR="003B31ED" w:rsidRPr="00635A6A" w:rsidRDefault="00641AB2">
            <w:pPr>
              <w:pStyle w:val="Standard"/>
            </w:pPr>
            <w:r w:rsidRPr="00635A6A">
              <w:rPr>
                <w:sz w:val="26"/>
                <w:szCs w:val="26"/>
              </w:rPr>
              <w:t>9. beruházások, felújítások kiadásai beruházásonként</w:t>
            </w:r>
          </w:p>
          <w:p w14:paraId="6974BBB2" w14:textId="77777777" w:rsidR="003B31ED" w:rsidRPr="00635A6A" w:rsidRDefault="003B31ED">
            <w:pPr>
              <w:pStyle w:val="Standard"/>
              <w:rPr>
                <w:sz w:val="26"/>
                <w:szCs w:val="26"/>
              </w:rPr>
            </w:pPr>
          </w:p>
          <w:p w14:paraId="3E517E45" w14:textId="77777777" w:rsidR="003B31ED" w:rsidRPr="00635A6A" w:rsidRDefault="00641AB2">
            <w:pPr>
              <w:pStyle w:val="Standard"/>
            </w:pPr>
            <w:r w:rsidRPr="00635A6A">
              <w:rPr>
                <w:sz w:val="26"/>
                <w:szCs w:val="26"/>
              </w:rPr>
              <w:t>(Előterjesztés mellékletei)</w:t>
            </w:r>
          </w:p>
          <w:p w14:paraId="5765F867" w14:textId="77777777" w:rsidR="003B31ED" w:rsidRPr="00635A6A" w:rsidRDefault="00641AB2">
            <w:pPr>
              <w:pStyle w:val="Standard"/>
            </w:pPr>
            <w:r w:rsidRPr="00635A6A">
              <w:rPr>
                <w:sz w:val="26"/>
                <w:szCs w:val="26"/>
              </w:rPr>
              <w:t>1. többéves kihatással járó döntések számszerűsítése</w:t>
            </w:r>
          </w:p>
          <w:p w14:paraId="7DF7715D" w14:textId="77777777" w:rsidR="003B31ED" w:rsidRPr="00635A6A" w:rsidRDefault="00641AB2">
            <w:pPr>
              <w:pStyle w:val="Standard"/>
            </w:pPr>
            <w:r w:rsidRPr="00635A6A">
              <w:rPr>
                <w:sz w:val="26"/>
                <w:szCs w:val="26"/>
              </w:rPr>
              <w:t>2. az önkormányzat által nyújtott közvetett támogatások</w:t>
            </w:r>
          </w:p>
          <w:p w14:paraId="18C4F6D9" w14:textId="49FB2781" w:rsidR="003B31ED" w:rsidRPr="00635A6A" w:rsidRDefault="00160FB1">
            <w:pPr>
              <w:pStyle w:val="Standard"/>
            </w:pPr>
            <w:r w:rsidRPr="00635A6A">
              <w:rPr>
                <w:sz w:val="26"/>
                <w:szCs w:val="26"/>
              </w:rPr>
              <w:t>3. 202</w:t>
            </w:r>
            <w:r w:rsidR="00AB08BA" w:rsidRPr="00635A6A">
              <w:rPr>
                <w:sz w:val="26"/>
                <w:szCs w:val="26"/>
              </w:rPr>
              <w:t>5</w:t>
            </w:r>
            <w:r w:rsidR="00641AB2" w:rsidRPr="00635A6A">
              <w:rPr>
                <w:sz w:val="26"/>
                <w:szCs w:val="26"/>
              </w:rPr>
              <w:t>. évi előirányzat-felhasználási terv</w:t>
            </w:r>
          </w:p>
          <w:p w14:paraId="573E9243" w14:textId="77777777" w:rsidR="003B31ED" w:rsidRPr="00635A6A" w:rsidRDefault="00641AB2">
            <w:pPr>
              <w:pStyle w:val="Standard"/>
            </w:pPr>
            <w:r w:rsidRPr="00635A6A">
              <w:rPr>
                <w:sz w:val="26"/>
                <w:szCs w:val="26"/>
              </w:rPr>
              <w:t>4. összevont költségvetési mérleg az Áht. 102. § (3) bekezdése alapján</w:t>
            </w:r>
          </w:p>
          <w:p w14:paraId="167DED5C" w14:textId="77777777" w:rsidR="003B31ED" w:rsidRPr="00635A6A" w:rsidRDefault="00641AB2">
            <w:pPr>
              <w:pStyle w:val="Standard"/>
            </w:pPr>
            <w:r w:rsidRPr="00635A6A">
              <w:rPr>
                <w:sz w:val="26"/>
                <w:szCs w:val="26"/>
              </w:rPr>
              <w:t>5. önkormányzat költségvetési mérlege az Áht. 102. § (3) bekezdése alapján</w:t>
            </w:r>
          </w:p>
          <w:p w14:paraId="78078DCD" w14:textId="77777777" w:rsidR="003B31ED" w:rsidRPr="00635A6A" w:rsidRDefault="00641AB2">
            <w:pPr>
              <w:pStyle w:val="Standard"/>
            </w:pPr>
            <w:r w:rsidRPr="00635A6A">
              <w:rPr>
                <w:sz w:val="26"/>
                <w:szCs w:val="26"/>
              </w:rPr>
              <w:t>6. önkormányzati hivatal költségvetési mérlege az Áht. 102. § (3) bekezdése alapján</w:t>
            </w:r>
          </w:p>
          <w:p w14:paraId="54D7F831" w14:textId="55AC56F4" w:rsidR="003B31ED" w:rsidRPr="00635A6A" w:rsidRDefault="00160FB1">
            <w:pPr>
              <w:pStyle w:val="Standard"/>
            </w:pPr>
            <w:r w:rsidRPr="00635A6A">
              <w:rPr>
                <w:sz w:val="26"/>
                <w:szCs w:val="26"/>
              </w:rPr>
              <w:t>7. a 202</w:t>
            </w:r>
            <w:r w:rsidR="00AB08BA" w:rsidRPr="00635A6A">
              <w:rPr>
                <w:sz w:val="26"/>
                <w:szCs w:val="26"/>
              </w:rPr>
              <w:t>5</w:t>
            </w:r>
            <w:r w:rsidR="00641AB2" w:rsidRPr="00635A6A">
              <w:rPr>
                <w:sz w:val="26"/>
                <w:szCs w:val="26"/>
              </w:rPr>
              <w:t>. évi költségvetési évet követő három év tervezett előirányzatainak keretszámai főbb csoportokban</w:t>
            </w:r>
          </w:p>
          <w:p w14:paraId="7C59606A" w14:textId="77777777" w:rsidR="003B31ED" w:rsidRPr="00635A6A" w:rsidRDefault="00641AB2">
            <w:pPr>
              <w:pStyle w:val="Standard"/>
            </w:pPr>
            <w:r w:rsidRPr="00635A6A">
              <w:rPr>
                <w:sz w:val="26"/>
                <w:szCs w:val="26"/>
              </w:rPr>
              <w:t>8. hazai költségvetési forrásból megvalósuló pályázatok bevételei és kiadásai</w:t>
            </w:r>
          </w:p>
        </w:tc>
      </w:tr>
      <w:tr w:rsidR="003B31ED" w:rsidRPr="00635A6A" w14:paraId="33E6FDB2" w14:textId="77777777">
        <w:trPr>
          <w:trHeight w:val="558"/>
          <w:jc w:val="center"/>
        </w:trPr>
        <w:tc>
          <w:tcPr>
            <w:tcW w:w="1980" w:type="dxa"/>
            <w:shd w:val="clear" w:color="auto" w:fill="auto"/>
            <w:tcMar>
              <w:top w:w="0" w:type="dxa"/>
              <w:left w:w="108" w:type="dxa"/>
              <w:bottom w:w="0" w:type="dxa"/>
              <w:right w:w="108" w:type="dxa"/>
            </w:tcMar>
            <w:vAlign w:val="center"/>
          </w:tcPr>
          <w:p w14:paraId="7C47318C" w14:textId="77777777" w:rsidR="003B31ED" w:rsidRPr="00635A6A" w:rsidRDefault="00641AB2">
            <w:pPr>
              <w:pStyle w:val="Standard"/>
              <w:jc w:val="both"/>
            </w:pPr>
            <w:r w:rsidRPr="00635A6A">
              <w:rPr>
                <w:b/>
                <w:sz w:val="26"/>
                <w:szCs w:val="26"/>
              </w:rPr>
              <w:t>Készítette:</w:t>
            </w:r>
          </w:p>
        </w:tc>
        <w:tc>
          <w:tcPr>
            <w:tcW w:w="6939" w:type="dxa"/>
            <w:shd w:val="clear" w:color="auto" w:fill="auto"/>
            <w:tcMar>
              <w:top w:w="0" w:type="dxa"/>
              <w:left w:w="108" w:type="dxa"/>
              <w:bottom w:w="0" w:type="dxa"/>
              <w:right w:w="108" w:type="dxa"/>
            </w:tcMar>
            <w:vAlign w:val="center"/>
          </w:tcPr>
          <w:p w14:paraId="5244C92F" w14:textId="77777777" w:rsidR="003B31ED" w:rsidRPr="00635A6A" w:rsidRDefault="00641AB2">
            <w:pPr>
              <w:pStyle w:val="Standard"/>
              <w:jc w:val="both"/>
            </w:pPr>
            <w:r w:rsidRPr="00635A6A">
              <w:rPr>
                <w:sz w:val="26"/>
                <w:szCs w:val="26"/>
              </w:rPr>
              <w:t>Már Norbert</w:t>
            </w:r>
          </w:p>
        </w:tc>
      </w:tr>
      <w:tr w:rsidR="003B31ED" w:rsidRPr="00635A6A" w14:paraId="6AFF52B3" w14:textId="77777777">
        <w:trPr>
          <w:trHeight w:val="670"/>
          <w:jc w:val="center"/>
        </w:trPr>
        <w:tc>
          <w:tcPr>
            <w:tcW w:w="1980" w:type="dxa"/>
            <w:shd w:val="clear" w:color="auto" w:fill="auto"/>
            <w:tcMar>
              <w:top w:w="0" w:type="dxa"/>
              <w:left w:w="108" w:type="dxa"/>
              <w:bottom w:w="0" w:type="dxa"/>
              <w:right w:w="108" w:type="dxa"/>
            </w:tcMar>
            <w:vAlign w:val="center"/>
          </w:tcPr>
          <w:p w14:paraId="3F9F658A" w14:textId="77777777" w:rsidR="003B31ED" w:rsidRPr="00635A6A" w:rsidRDefault="00641AB2">
            <w:pPr>
              <w:pStyle w:val="Standard"/>
              <w:jc w:val="both"/>
            </w:pPr>
            <w:r w:rsidRPr="00635A6A">
              <w:rPr>
                <w:b/>
                <w:sz w:val="26"/>
                <w:szCs w:val="26"/>
              </w:rPr>
              <w:t>Véleményező bizottságok:</w:t>
            </w:r>
          </w:p>
        </w:tc>
        <w:tc>
          <w:tcPr>
            <w:tcW w:w="6939" w:type="dxa"/>
            <w:shd w:val="clear" w:color="auto" w:fill="auto"/>
            <w:tcMar>
              <w:top w:w="0" w:type="dxa"/>
              <w:left w:w="108" w:type="dxa"/>
              <w:bottom w:w="0" w:type="dxa"/>
              <w:right w:w="108" w:type="dxa"/>
            </w:tcMar>
            <w:vAlign w:val="center"/>
          </w:tcPr>
          <w:p w14:paraId="61072ABC" w14:textId="77777777" w:rsidR="003B31ED" w:rsidRPr="00635A6A" w:rsidRDefault="00641AB2">
            <w:pPr>
              <w:pStyle w:val="Standard"/>
              <w:jc w:val="both"/>
            </w:pPr>
            <w:r w:rsidRPr="00635A6A">
              <w:rPr>
                <w:sz w:val="26"/>
                <w:szCs w:val="26"/>
              </w:rPr>
              <w:t>a közgyűlés bizottságai</w:t>
            </w:r>
          </w:p>
        </w:tc>
      </w:tr>
    </w:tbl>
    <w:p w14:paraId="60148626" w14:textId="77777777" w:rsidR="003B31ED" w:rsidRPr="00635A6A" w:rsidRDefault="003B31ED">
      <w:pPr>
        <w:pStyle w:val="Standard"/>
        <w:rPr>
          <w:b/>
        </w:rPr>
      </w:pPr>
    </w:p>
    <w:p w14:paraId="0E6B5A04" w14:textId="77777777" w:rsidR="003B31ED" w:rsidRPr="00635A6A" w:rsidRDefault="003B31ED">
      <w:pPr>
        <w:pStyle w:val="Standard"/>
        <w:rPr>
          <w:b/>
        </w:rPr>
      </w:pPr>
    </w:p>
    <w:p w14:paraId="476908BF" w14:textId="77777777" w:rsidR="003B31ED" w:rsidRPr="00635A6A" w:rsidRDefault="00641AB2">
      <w:pPr>
        <w:pStyle w:val="Standard"/>
        <w:pageBreakBefore/>
      </w:pPr>
      <w:r w:rsidRPr="00635A6A">
        <w:rPr>
          <w:b/>
        </w:rPr>
        <w:lastRenderedPageBreak/>
        <w:t>Tisztelt Közgyűlés!</w:t>
      </w:r>
    </w:p>
    <w:p w14:paraId="23815131" w14:textId="77777777" w:rsidR="003B31ED" w:rsidRPr="00635A6A" w:rsidRDefault="00641AB2">
      <w:pPr>
        <w:pStyle w:val="Standard"/>
        <w:jc w:val="center"/>
      </w:pPr>
      <w:r w:rsidRPr="00635A6A">
        <w:rPr>
          <w:b/>
        </w:rPr>
        <w:t>I.</w:t>
      </w:r>
    </w:p>
    <w:p w14:paraId="33149B6B" w14:textId="69327AF1" w:rsidR="003B31ED" w:rsidRPr="00635A6A" w:rsidRDefault="00641AB2">
      <w:pPr>
        <w:pStyle w:val="Standard"/>
        <w:jc w:val="both"/>
      </w:pPr>
      <w:r w:rsidRPr="00635A6A">
        <w:t>Hajdú-Bihar Vármegye Önkormányzata 202</w:t>
      </w:r>
      <w:r w:rsidR="00AB08BA" w:rsidRPr="00635A6A">
        <w:t>5</w:t>
      </w:r>
      <w:r w:rsidRPr="00635A6A">
        <w:t>. évi költségvetésének javaslata a Magyarország helyi önkormányzatairól szóló 2011. évi CLXXXIX. törvény</w:t>
      </w:r>
      <w:r w:rsidR="003E14CD">
        <w:t xml:space="preserve"> (továbbiakban: Mötv.)</w:t>
      </w:r>
      <w:r w:rsidRPr="00635A6A">
        <w:t xml:space="preserve">, az államháztartásról szóló 2011. évi CXCV. törvény (továbbiakban: Áht.), a Magyarország gazdasági stabilitásáról szóló 2011. évi CXCIV. törvény, valamint a </w:t>
      </w:r>
      <w:r w:rsidR="00160FB1" w:rsidRPr="00635A6A">
        <w:t>Magyarország 202</w:t>
      </w:r>
      <w:r w:rsidR="00AB08BA" w:rsidRPr="00635A6A">
        <w:t>5</w:t>
      </w:r>
      <w:r w:rsidRPr="00635A6A">
        <w:t>. évi közp</w:t>
      </w:r>
      <w:r w:rsidR="00160FB1" w:rsidRPr="00635A6A">
        <w:t>onti költségvetéséről szóló 202</w:t>
      </w:r>
      <w:r w:rsidR="00AB08BA" w:rsidRPr="00635A6A">
        <w:t>4</w:t>
      </w:r>
      <w:r w:rsidR="00160FB1" w:rsidRPr="00635A6A">
        <w:t xml:space="preserve">. évi </w:t>
      </w:r>
      <w:r w:rsidR="00AB08BA" w:rsidRPr="00635A6A">
        <w:t>XC</w:t>
      </w:r>
      <w:r w:rsidRPr="00635A6A">
        <w:t>. törvény (továbbiakban költségvetési törvény) szerint készült el, továbbá figyelembevételre kerültek az egyes törvények végrehajtására kiadott jogszabályok is.</w:t>
      </w:r>
    </w:p>
    <w:p w14:paraId="389B30D0" w14:textId="77777777" w:rsidR="003B31ED" w:rsidRPr="00635A6A" w:rsidRDefault="003B31ED">
      <w:pPr>
        <w:pStyle w:val="Standard"/>
        <w:jc w:val="both"/>
      </w:pPr>
    </w:p>
    <w:p w14:paraId="34AC6658" w14:textId="5FD8A5FA" w:rsidR="003B31ED" w:rsidRPr="00635A6A" w:rsidRDefault="001B39AD">
      <w:pPr>
        <w:pStyle w:val="Standard"/>
        <w:jc w:val="center"/>
      </w:pPr>
      <w:r w:rsidRPr="00635A6A">
        <w:rPr>
          <w:b/>
        </w:rPr>
        <w:t>A 202</w:t>
      </w:r>
      <w:r w:rsidR="00AB08BA" w:rsidRPr="00635A6A">
        <w:rPr>
          <w:b/>
        </w:rPr>
        <w:t>5</w:t>
      </w:r>
      <w:r w:rsidR="00641AB2" w:rsidRPr="00635A6A">
        <w:rPr>
          <w:b/>
        </w:rPr>
        <w:t>. évi költségvetés összeállítását meghatározó környezet</w:t>
      </w:r>
    </w:p>
    <w:p w14:paraId="44D446FB" w14:textId="77777777" w:rsidR="004C66DD" w:rsidRDefault="004C66DD">
      <w:pPr>
        <w:pStyle w:val="Standard"/>
        <w:jc w:val="both"/>
        <w:rPr>
          <w:b/>
          <w:color w:val="ED0000"/>
        </w:rPr>
      </w:pPr>
    </w:p>
    <w:p w14:paraId="42D1334C" w14:textId="04C8E5FB" w:rsidR="00611906" w:rsidRPr="004C66DD" w:rsidRDefault="004C66DD">
      <w:pPr>
        <w:pStyle w:val="Standard"/>
        <w:jc w:val="both"/>
        <w:rPr>
          <w:bCs/>
          <w:color w:val="000000" w:themeColor="text1"/>
        </w:rPr>
      </w:pPr>
      <w:r w:rsidRPr="004C66DD">
        <w:rPr>
          <w:bCs/>
          <w:color w:val="000000" w:themeColor="text1"/>
        </w:rPr>
        <w:t>A tárgyévi gazdálkodás során a</w:t>
      </w:r>
      <w:r w:rsidR="00611906" w:rsidRPr="004C66DD">
        <w:rPr>
          <w:bCs/>
          <w:color w:val="000000" w:themeColor="text1"/>
        </w:rPr>
        <w:t xml:space="preserve">z elmúlt évek </w:t>
      </w:r>
      <w:r w:rsidR="00612B26" w:rsidRPr="004C66DD">
        <w:rPr>
          <w:bCs/>
          <w:color w:val="000000" w:themeColor="text1"/>
        </w:rPr>
        <w:t>negatív gazdasági hatásai</w:t>
      </w:r>
      <w:r w:rsidR="00611906" w:rsidRPr="004C66DD">
        <w:rPr>
          <w:bCs/>
          <w:color w:val="000000" w:themeColor="text1"/>
        </w:rPr>
        <w:t xml:space="preserve"> (koronavírus járvány, orosz-ukrán háború, magas energiaárak, magas inflációs környezet)</w:t>
      </w:r>
      <w:r w:rsidR="00612B26" w:rsidRPr="004C66DD">
        <w:rPr>
          <w:bCs/>
          <w:color w:val="000000" w:themeColor="text1"/>
        </w:rPr>
        <w:t xml:space="preserve"> </w:t>
      </w:r>
      <w:r w:rsidRPr="004C66DD">
        <w:rPr>
          <w:bCs/>
          <w:color w:val="000000" w:themeColor="text1"/>
        </w:rPr>
        <w:t>jelentősen mérséklődtek, így érdemben nem befolyásolják a 2025. évi költségvetés összeállítását, annak végrehajtását.</w:t>
      </w:r>
    </w:p>
    <w:p w14:paraId="6B0BCE13" w14:textId="0DFD2275" w:rsidR="00C76F6A" w:rsidRPr="00635A6A" w:rsidRDefault="00EF60B3">
      <w:pPr>
        <w:pStyle w:val="Standard"/>
        <w:jc w:val="both"/>
        <w:rPr>
          <w:bCs/>
        </w:rPr>
      </w:pPr>
      <w:r w:rsidRPr="00635A6A">
        <w:rPr>
          <w:bCs/>
        </w:rPr>
        <w:t xml:space="preserve">A jelentősebb költségvetési kiadással járó </w:t>
      </w:r>
      <w:r w:rsidR="00CD337F" w:rsidRPr="00635A6A">
        <w:rPr>
          <w:bCs/>
        </w:rPr>
        <w:t>tételek</w:t>
      </w:r>
      <w:r w:rsidR="00E60629" w:rsidRPr="00635A6A">
        <w:rPr>
          <w:bCs/>
        </w:rPr>
        <w:t>, a 202</w:t>
      </w:r>
      <w:r w:rsidR="007366BF" w:rsidRPr="00635A6A">
        <w:rPr>
          <w:bCs/>
        </w:rPr>
        <w:t>5</w:t>
      </w:r>
      <w:r w:rsidR="00B1796B" w:rsidRPr="00635A6A">
        <w:rPr>
          <w:bCs/>
        </w:rPr>
        <w:t>. évi változások</w:t>
      </w:r>
      <w:r w:rsidR="009415F9" w:rsidRPr="00635A6A">
        <w:rPr>
          <w:bCs/>
        </w:rPr>
        <w:t>, valamint a költségvetés számadatait meghatározó körülmények</w:t>
      </w:r>
      <w:r w:rsidRPr="00635A6A">
        <w:rPr>
          <w:bCs/>
        </w:rPr>
        <w:t xml:space="preserve"> az alábbiak:</w:t>
      </w:r>
    </w:p>
    <w:p w14:paraId="3C7F0E40" w14:textId="305700B4" w:rsidR="00E60629" w:rsidRPr="00D5590E" w:rsidRDefault="00EF60B3" w:rsidP="00EF60B3">
      <w:pPr>
        <w:pStyle w:val="Standard"/>
        <w:numPr>
          <w:ilvl w:val="0"/>
          <w:numId w:val="43"/>
        </w:numPr>
        <w:jc w:val="both"/>
        <w:rPr>
          <w:bCs/>
          <w:color w:val="000000" w:themeColor="text1"/>
        </w:rPr>
      </w:pPr>
      <w:r w:rsidRPr="00D5590E">
        <w:rPr>
          <w:bCs/>
          <w:color w:val="000000" w:themeColor="text1"/>
        </w:rPr>
        <w:t xml:space="preserve">a </w:t>
      </w:r>
      <w:r w:rsidR="006E0849" w:rsidRPr="00D5590E">
        <w:rPr>
          <w:bCs/>
          <w:color w:val="000000" w:themeColor="text1"/>
        </w:rPr>
        <w:t>Várm</w:t>
      </w:r>
      <w:r w:rsidRPr="00D5590E">
        <w:rPr>
          <w:bCs/>
          <w:color w:val="000000" w:themeColor="text1"/>
        </w:rPr>
        <w:t xml:space="preserve">egyeháza épületének fűtését biztosító </w:t>
      </w:r>
      <w:r w:rsidRPr="00D5590E">
        <w:rPr>
          <w:b/>
          <w:color w:val="000000" w:themeColor="text1"/>
        </w:rPr>
        <w:t>távhő</w:t>
      </w:r>
      <w:r w:rsidRPr="00D5590E">
        <w:rPr>
          <w:bCs/>
          <w:color w:val="000000" w:themeColor="text1"/>
        </w:rPr>
        <w:t xml:space="preserve"> díja</w:t>
      </w:r>
      <w:r w:rsidR="00CD337F" w:rsidRPr="00D5590E">
        <w:rPr>
          <w:bCs/>
          <w:color w:val="000000" w:themeColor="text1"/>
        </w:rPr>
        <w:t xml:space="preserve"> </w:t>
      </w:r>
      <w:r w:rsidRPr="00D5590E">
        <w:rPr>
          <w:bCs/>
          <w:color w:val="000000" w:themeColor="text1"/>
        </w:rPr>
        <w:t>202</w:t>
      </w:r>
      <w:r w:rsidR="000735E7" w:rsidRPr="00D5590E">
        <w:rPr>
          <w:bCs/>
          <w:color w:val="000000" w:themeColor="text1"/>
        </w:rPr>
        <w:t>4</w:t>
      </w:r>
      <w:r w:rsidRPr="00D5590E">
        <w:rPr>
          <w:bCs/>
          <w:color w:val="000000" w:themeColor="text1"/>
        </w:rPr>
        <w:t xml:space="preserve">. október 1-től nettó </w:t>
      </w:r>
      <w:r w:rsidR="000735E7" w:rsidRPr="00D5590E">
        <w:rPr>
          <w:bCs/>
          <w:color w:val="000000" w:themeColor="text1"/>
        </w:rPr>
        <w:t>9.46</w:t>
      </w:r>
      <w:r w:rsidR="00D5590E" w:rsidRPr="00D5590E">
        <w:rPr>
          <w:bCs/>
          <w:color w:val="000000" w:themeColor="text1"/>
        </w:rPr>
        <w:t>8</w:t>
      </w:r>
      <w:r w:rsidR="00E60629" w:rsidRPr="00D5590E">
        <w:rPr>
          <w:bCs/>
          <w:color w:val="000000" w:themeColor="text1"/>
        </w:rPr>
        <w:t xml:space="preserve"> Ft/GJ-ra csökkent a</w:t>
      </w:r>
      <w:r w:rsidR="000735E7" w:rsidRPr="00D5590E">
        <w:rPr>
          <w:bCs/>
          <w:color w:val="000000" w:themeColor="text1"/>
        </w:rPr>
        <w:t>z előző évi</w:t>
      </w:r>
      <w:r w:rsidR="00E60629" w:rsidRPr="00D5590E">
        <w:rPr>
          <w:bCs/>
          <w:color w:val="000000" w:themeColor="text1"/>
        </w:rPr>
        <w:t xml:space="preserve"> </w:t>
      </w:r>
      <w:r w:rsidR="000735E7" w:rsidRPr="00D5590E">
        <w:rPr>
          <w:bCs/>
          <w:color w:val="000000" w:themeColor="text1"/>
        </w:rPr>
        <w:t>14.201</w:t>
      </w:r>
      <w:r w:rsidR="00E60629" w:rsidRPr="00D5590E">
        <w:rPr>
          <w:bCs/>
          <w:color w:val="000000" w:themeColor="text1"/>
        </w:rPr>
        <w:t xml:space="preserve"> Ft/GJ egységárhoz képest. </w:t>
      </w:r>
      <w:r w:rsidR="006C58A9" w:rsidRPr="00D5590E">
        <w:rPr>
          <w:bCs/>
          <w:color w:val="000000" w:themeColor="text1"/>
        </w:rPr>
        <w:t xml:space="preserve">Bár még így is </w:t>
      </w:r>
      <w:r w:rsidR="000735E7" w:rsidRPr="00D5590E">
        <w:rPr>
          <w:bCs/>
          <w:color w:val="000000" w:themeColor="text1"/>
        </w:rPr>
        <w:t>több mint két és félszerese</w:t>
      </w:r>
      <w:r w:rsidR="006C58A9" w:rsidRPr="00D5590E">
        <w:rPr>
          <w:bCs/>
          <w:color w:val="000000" w:themeColor="text1"/>
        </w:rPr>
        <w:t xml:space="preserve"> az áremelkedés előtti 3.707 Ft/GJ egységárhoz képest</w:t>
      </w:r>
      <w:r w:rsidR="00C40647" w:rsidRPr="00D5590E">
        <w:rPr>
          <w:bCs/>
          <w:color w:val="000000" w:themeColor="text1"/>
        </w:rPr>
        <w:t xml:space="preserve">, </w:t>
      </w:r>
      <w:r w:rsidR="00D5590E" w:rsidRPr="00D5590E">
        <w:rPr>
          <w:bCs/>
          <w:color w:val="000000" w:themeColor="text1"/>
        </w:rPr>
        <w:t xml:space="preserve">a korábban </w:t>
      </w:r>
      <w:r w:rsidR="00C40647" w:rsidRPr="00D5590E">
        <w:rPr>
          <w:bCs/>
          <w:color w:val="000000" w:themeColor="text1"/>
        </w:rPr>
        <w:t xml:space="preserve">meghozott takarékossági intézkedések hatásaként jelentkező fogyasztáscsökkenés révén az éves várható távhő költség az áremelkedés előtti költségszinttel azonos lesz. </w:t>
      </w:r>
    </w:p>
    <w:p w14:paraId="4C2F4D19" w14:textId="78E69FB1" w:rsidR="00CD337F" w:rsidRPr="00ED31F2" w:rsidRDefault="003C73AC" w:rsidP="00EF60B3">
      <w:pPr>
        <w:pStyle w:val="Standard"/>
        <w:numPr>
          <w:ilvl w:val="0"/>
          <w:numId w:val="43"/>
        </w:numPr>
        <w:jc w:val="both"/>
        <w:rPr>
          <w:bCs/>
        </w:rPr>
      </w:pPr>
      <w:r w:rsidRPr="00ED31F2">
        <w:rPr>
          <w:bCs/>
        </w:rPr>
        <w:t xml:space="preserve">a </w:t>
      </w:r>
      <w:r w:rsidRPr="00ED31F2">
        <w:rPr>
          <w:b/>
        </w:rPr>
        <w:t xml:space="preserve">villamosenergia </w:t>
      </w:r>
      <w:r w:rsidRPr="00ED31F2">
        <w:rPr>
          <w:bCs/>
        </w:rPr>
        <w:t>ára 2</w:t>
      </w:r>
      <w:r w:rsidR="005F623E" w:rsidRPr="00ED31F2">
        <w:rPr>
          <w:bCs/>
        </w:rPr>
        <w:t>024. január 1-től nettó 286 Ft/kWh-ról 72 Ft/kWh-ra mérséklődött</w:t>
      </w:r>
      <w:r w:rsidR="00D55261" w:rsidRPr="00ED31F2">
        <w:rPr>
          <w:bCs/>
        </w:rPr>
        <w:t>, mely</w:t>
      </w:r>
      <w:r w:rsidR="00BB3197" w:rsidRPr="00ED31F2">
        <w:rPr>
          <w:bCs/>
        </w:rPr>
        <w:t xml:space="preserve"> 2025</w:t>
      </w:r>
      <w:r w:rsidR="00CF08B3" w:rsidRPr="00ED31F2">
        <w:rPr>
          <w:bCs/>
        </w:rPr>
        <w:t xml:space="preserve">. január 1-től </w:t>
      </w:r>
      <w:r w:rsidR="00F36F8C" w:rsidRPr="00ED31F2">
        <w:rPr>
          <w:bCs/>
        </w:rPr>
        <w:t>tovább csökkent</w:t>
      </w:r>
      <w:r w:rsidR="00E74D16" w:rsidRPr="00ED31F2">
        <w:rPr>
          <w:bCs/>
        </w:rPr>
        <w:t xml:space="preserve"> nettó 47</w:t>
      </w:r>
      <w:r w:rsidR="00F42891" w:rsidRPr="00ED31F2">
        <w:rPr>
          <w:bCs/>
        </w:rPr>
        <w:t xml:space="preserve"> Ft/kWh-ra. Ez</w:t>
      </w:r>
      <w:r w:rsidR="00C40647" w:rsidRPr="00ED31F2">
        <w:rPr>
          <w:bCs/>
        </w:rPr>
        <w:t xml:space="preserve"> a</w:t>
      </w:r>
      <w:r w:rsidR="00F42891" w:rsidRPr="00ED31F2">
        <w:rPr>
          <w:bCs/>
        </w:rPr>
        <w:t>z ár néhány forinttal alacsonyabb a</w:t>
      </w:r>
      <w:r w:rsidR="00C40647" w:rsidRPr="00ED31F2">
        <w:rPr>
          <w:bCs/>
        </w:rPr>
        <w:t xml:space="preserve"> „békeidőkbeli” árhoz képest, </w:t>
      </w:r>
      <w:r w:rsidR="00F42891" w:rsidRPr="00ED31F2">
        <w:rPr>
          <w:bCs/>
        </w:rPr>
        <w:t>így a tárgyévi költségvetésben ebből fakadóan többletköltség nem jelentkezik</w:t>
      </w:r>
      <w:r w:rsidR="000A6B07" w:rsidRPr="00ED31F2">
        <w:rPr>
          <w:bCs/>
        </w:rPr>
        <w:t>.</w:t>
      </w:r>
    </w:p>
    <w:p w14:paraId="5B88F209" w14:textId="7D2C484F" w:rsidR="003C73AC" w:rsidRPr="00ED31F2" w:rsidRDefault="009757AA" w:rsidP="00EF60B3">
      <w:pPr>
        <w:pStyle w:val="Standard"/>
        <w:numPr>
          <w:ilvl w:val="0"/>
          <w:numId w:val="43"/>
        </w:numPr>
        <w:jc w:val="both"/>
        <w:rPr>
          <w:bCs/>
        </w:rPr>
      </w:pPr>
      <w:r w:rsidRPr="00ED31F2">
        <w:rPr>
          <w:bCs/>
        </w:rPr>
        <w:t xml:space="preserve">az </w:t>
      </w:r>
      <w:r w:rsidRPr="00ED31F2">
        <w:rPr>
          <w:b/>
        </w:rPr>
        <w:t>üzemanyagköltség</w:t>
      </w:r>
      <w:r w:rsidR="0013060D" w:rsidRPr="00ED31F2">
        <w:rPr>
          <w:b/>
        </w:rPr>
        <w:t xml:space="preserve">et </w:t>
      </w:r>
      <w:r w:rsidR="0013060D" w:rsidRPr="00ED31F2">
        <w:t>illetően</w:t>
      </w:r>
      <w:r w:rsidR="0013060D" w:rsidRPr="00ED31F2">
        <w:rPr>
          <w:bCs/>
        </w:rPr>
        <w:t xml:space="preserve"> az</w:t>
      </w:r>
      <w:r w:rsidRPr="00ED31F2">
        <w:rPr>
          <w:bCs/>
        </w:rPr>
        <w:t xml:space="preserve"> előterjesztés készítésekor a </w:t>
      </w:r>
      <w:r w:rsidR="00517FDF" w:rsidRPr="00ED31F2">
        <w:rPr>
          <w:bCs/>
        </w:rPr>
        <w:t xml:space="preserve">95-ös benzin literenkénti ára </w:t>
      </w:r>
      <w:r w:rsidR="005F623E" w:rsidRPr="00ED31F2">
        <w:rPr>
          <w:bCs/>
        </w:rPr>
        <w:t>~</w:t>
      </w:r>
      <w:r w:rsidR="00517FDF" w:rsidRPr="00ED31F2">
        <w:rPr>
          <w:bCs/>
        </w:rPr>
        <w:t>6</w:t>
      </w:r>
      <w:r w:rsidR="00F42891" w:rsidRPr="00ED31F2">
        <w:rPr>
          <w:bCs/>
        </w:rPr>
        <w:t>3</w:t>
      </w:r>
      <w:r w:rsidRPr="00ED31F2">
        <w:rPr>
          <w:bCs/>
        </w:rPr>
        <w:t>0 Ft, míg a gázol</w:t>
      </w:r>
      <w:r w:rsidR="00517FDF" w:rsidRPr="00ED31F2">
        <w:rPr>
          <w:bCs/>
        </w:rPr>
        <w:t xml:space="preserve">ajé </w:t>
      </w:r>
      <w:r w:rsidR="005F623E" w:rsidRPr="00ED31F2">
        <w:rPr>
          <w:bCs/>
        </w:rPr>
        <w:t>~</w:t>
      </w:r>
      <w:r w:rsidR="00517FDF" w:rsidRPr="00ED31F2">
        <w:rPr>
          <w:bCs/>
        </w:rPr>
        <w:t xml:space="preserve">640 Ft, amely </w:t>
      </w:r>
      <w:r w:rsidR="00F42891" w:rsidRPr="00ED31F2">
        <w:rPr>
          <w:bCs/>
        </w:rPr>
        <w:t>közel azonos</w:t>
      </w:r>
      <w:r w:rsidR="005F623E" w:rsidRPr="00ED31F2">
        <w:rPr>
          <w:bCs/>
        </w:rPr>
        <w:t xml:space="preserve"> az egy évvel korábbi </w:t>
      </w:r>
      <w:r w:rsidR="00517FDF" w:rsidRPr="00ED31F2">
        <w:rPr>
          <w:bCs/>
        </w:rPr>
        <w:t xml:space="preserve">árakkal. </w:t>
      </w:r>
      <w:r w:rsidR="0013060D" w:rsidRPr="00ED31F2">
        <w:rPr>
          <w:bCs/>
        </w:rPr>
        <w:t xml:space="preserve">Az árakban jelentős csökkenést </w:t>
      </w:r>
      <w:r w:rsidR="00F42891" w:rsidRPr="00ED31F2">
        <w:rPr>
          <w:bCs/>
        </w:rPr>
        <w:t xml:space="preserve">2025. évben sem </w:t>
      </w:r>
      <w:r w:rsidR="0013060D" w:rsidRPr="00ED31F2">
        <w:rPr>
          <w:bCs/>
        </w:rPr>
        <w:t>vá</w:t>
      </w:r>
      <w:r w:rsidR="005F623E" w:rsidRPr="00ED31F2">
        <w:rPr>
          <w:bCs/>
        </w:rPr>
        <w:t>runk</w:t>
      </w:r>
      <w:r w:rsidR="00F42891" w:rsidRPr="00ED31F2">
        <w:rPr>
          <w:bCs/>
        </w:rPr>
        <w:t>, legalábbis tervezési szinten nem.</w:t>
      </w:r>
    </w:p>
    <w:p w14:paraId="657972BB" w14:textId="513B8D1C" w:rsidR="00FB14A0" w:rsidRPr="00ED31F2" w:rsidRDefault="00FB14A0" w:rsidP="00EF60B3">
      <w:pPr>
        <w:pStyle w:val="Standard"/>
        <w:numPr>
          <w:ilvl w:val="0"/>
          <w:numId w:val="43"/>
        </w:numPr>
        <w:jc w:val="both"/>
        <w:rPr>
          <w:bCs/>
        </w:rPr>
      </w:pPr>
      <w:r w:rsidRPr="00ED31F2">
        <w:rPr>
          <w:bCs/>
        </w:rPr>
        <w:t>a Központi Statisztikai Hivatal által kö</w:t>
      </w:r>
      <w:r w:rsidR="0012202C" w:rsidRPr="00ED31F2">
        <w:rPr>
          <w:bCs/>
        </w:rPr>
        <w:t>zzétett</w:t>
      </w:r>
      <w:r w:rsidR="00297B79" w:rsidRPr="00ED31F2">
        <w:rPr>
          <w:bCs/>
        </w:rPr>
        <w:t xml:space="preserve"> adatok alapján 202</w:t>
      </w:r>
      <w:r w:rsidR="00F42891" w:rsidRPr="00ED31F2">
        <w:rPr>
          <w:bCs/>
        </w:rPr>
        <w:t>4</w:t>
      </w:r>
      <w:r w:rsidRPr="00ED31F2">
        <w:rPr>
          <w:bCs/>
        </w:rPr>
        <w:t>. évbe</w:t>
      </w:r>
      <w:r w:rsidR="00297B79" w:rsidRPr="00ED31F2">
        <w:rPr>
          <w:bCs/>
        </w:rPr>
        <w:t xml:space="preserve">n a </w:t>
      </w:r>
      <w:r w:rsidR="00297B79" w:rsidRPr="00ED31F2">
        <w:rPr>
          <w:b/>
        </w:rPr>
        <w:t>fogyasztói árak</w:t>
      </w:r>
      <w:r w:rsidR="00297B79" w:rsidRPr="00ED31F2">
        <w:rPr>
          <w:bCs/>
        </w:rPr>
        <w:t xml:space="preserve"> átlagosan </w:t>
      </w:r>
      <w:r w:rsidR="00F42891" w:rsidRPr="00ED31F2">
        <w:rPr>
          <w:b/>
          <w:bCs/>
        </w:rPr>
        <w:t>3,7</w:t>
      </w:r>
      <w:r w:rsidRPr="00ED31F2">
        <w:rPr>
          <w:b/>
          <w:bCs/>
        </w:rPr>
        <w:t xml:space="preserve"> %-</w:t>
      </w:r>
      <w:r w:rsidRPr="00ED31F2">
        <w:rPr>
          <w:bCs/>
        </w:rPr>
        <w:t>kal e</w:t>
      </w:r>
      <w:r w:rsidR="001475E1" w:rsidRPr="00ED31F2">
        <w:rPr>
          <w:bCs/>
        </w:rPr>
        <w:t xml:space="preserve">melkedtek </w:t>
      </w:r>
      <w:r w:rsidR="00517FDF" w:rsidRPr="00ED31F2">
        <w:rPr>
          <w:bCs/>
        </w:rPr>
        <w:t>az előző évhez képest</w:t>
      </w:r>
      <w:r w:rsidR="001362AA" w:rsidRPr="00ED31F2">
        <w:rPr>
          <w:bCs/>
        </w:rPr>
        <w:t xml:space="preserve">, amely jelentősen alacsonyabb a 2022. évi (14,5 %) és a 2023. évi (17,6 %) éves inflációkhoz képest. </w:t>
      </w:r>
      <w:r w:rsidRPr="00ED31F2">
        <w:rPr>
          <w:bCs/>
        </w:rPr>
        <w:t xml:space="preserve"> </w:t>
      </w:r>
      <w:r w:rsidR="00517FDF" w:rsidRPr="00ED31F2">
        <w:rPr>
          <w:bCs/>
        </w:rPr>
        <w:t>A</w:t>
      </w:r>
      <w:r w:rsidRPr="00ED31F2">
        <w:rPr>
          <w:bCs/>
        </w:rPr>
        <w:t xml:space="preserve"> Magyar Nemzet</w:t>
      </w:r>
      <w:r w:rsidR="00421028" w:rsidRPr="00ED31F2">
        <w:rPr>
          <w:bCs/>
        </w:rPr>
        <w:t xml:space="preserve">i Bank </w:t>
      </w:r>
      <w:r w:rsidR="001362AA" w:rsidRPr="00ED31F2">
        <w:rPr>
          <w:bCs/>
        </w:rPr>
        <w:t xml:space="preserve">2024. decemberi </w:t>
      </w:r>
      <w:r w:rsidR="00421028" w:rsidRPr="00ED31F2">
        <w:rPr>
          <w:bCs/>
        </w:rPr>
        <w:t>előrejelzése alapján 202</w:t>
      </w:r>
      <w:r w:rsidR="001362AA" w:rsidRPr="00ED31F2">
        <w:rPr>
          <w:bCs/>
        </w:rPr>
        <w:t>5</w:t>
      </w:r>
      <w:r w:rsidRPr="00ED31F2">
        <w:rPr>
          <w:bCs/>
        </w:rPr>
        <w:t xml:space="preserve">. évben az </w:t>
      </w:r>
      <w:r w:rsidRPr="00ED31F2">
        <w:rPr>
          <w:b/>
        </w:rPr>
        <w:t>infláció</w:t>
      </w:r>
      <w:r w:rsidR="00421028" w:rsidRPr="00ED31F2">
        <w:rPr>
          <w:bCs/>
        </w:rPr>
        <w:t xml:space="preserve"> éves mértéke </w:t>
      </w:r>
      <w:r w:rsidR="001362AA" w:rsidRPr="00ED31F2">
        <w:rPr>
          <w:b/>
        </w:rPr>
        <w:t>3,3 – 4,1</w:t>
      </w:r>
      <w:r w:rsidRPr="00ED31F2">
        <w:rPr>
          <w:b/>
        </w:rPr>
        <w:t xml:space="preserve"> %</w:t>
      </w:r>
      <w:r w:rsidRPr="00ED31F2">
        <w:rPr>
          <w:bCs/>
        </w:rPr>
        <w:t xml:space="preserve"> körül</w:t>
      </w:r>
      <w:r w:rsidR="00517FDF" w:rsidRPr="00ED31F2">
        <w:rPr>
          <w:bCs/>
        </w:rPr>
        <w:t xml:space="preserve"> várható, </w:t>
      </w:r>
      <w:r w:rsidR="001362AA" w:rsidRPr="00ED31F2">
        <w:rPr>
          <w:b/>
        </w:rPr>
        <w:t>2026</w:t>
      </w:r>
      <w:r w:rsidR="001362AA" w:rsidRPr="00ED31F2">
        <w:rPr>
          <w:bCs/>
        </w:rPr>
        <w:t xml:space="preserve">-ban és </w:t>
      </w:r>
      <w:r w:rsidR="001362AA" w:rsidRPr="00ED31F2">
        <w:rPr>
          <w:b/>
        </w:rPr>
        <w:t>2027</w:t>
      </w:r>
      <w:r w:rsidR="001362AA" w:rsidRPr="00ED31F2">
        <w:rPr>
          <w:bCs/>
        </w:rPr>
        <w:t xml:space="preserve">-ben pedig </w:t>
      </w:r>
      <w:r w:rsidR="001362AA" w:rsidRPr="00ED31F2">
        <w:rPr>
          <w:b/>
        </w:rPr>
        <w:t>2,5 – 3,5 %</w:t>
      </w:r>
      <w:r w:rsidR="001362AA" w:rsidRPr="00ED31F2">
        <w:rPr>
          <w:bCs/>
        </w:rPr>
        <w:t xml:space="preserve"> körül alakulhat éves átlagban, </w:t>
      </w:r>
      <w:r w:rsidR="00517FDF" w:rsidRPr="00ED31F2">
        <w:rPr>
          <w:bCs/>
        </w:rPr>
        <w:t>amely a jövőre nézve bizakodásra adhat okot.</w:t>
      </w:r>
      <w:r w:rsidRPr="00ED31F2">
        <w:rPr>
          <w:bCs/>
        </w:rPr>
        <w:t xml:space="preserve"> </w:t>
      </w:r>
    </w:p>
    <w:p w14:paraId="11D025B8" w14:textId="2217E640" w:rsidR="007E461D" w:rsidRPr="00ED31F2" w:rsidRDefault="003E14CD" w:rsidP="00EF60B3">
      <w:pPr>
        <w:pStyle w:val="Standard"/>
        <w:numPr>
          <w:ilvl w:val="0"/>
          <w:numId w:val="43"/>
        </w:numPr>
        <w:jc w:val="both"/>
        <w:rPr>
          <w:bCs/>
          <w:color w:val="000000" w:themeColor="text1"/>
        </w:rPr>
      </w:pPr>
      <w:r w:rsidRPr="00ED31F2">
        <w:rPr>
          <w:bCs/>
          <w:color w:val="000000" w:themeColor="text1"/>
        </w:rPr>
        <w:t>2024. november 29-én módosult</w:t>
      </w:r>
      <w:r w:rsidR="00FC7B5F">
        <w:rPr>
          <w:bCs/>
          <w:color w:val="000000" w:themeColor="text1"/>
        </w:rPr>
        <w:t>ak</w:t>
      </w:r>
      <w:r w:rsidRPr="00ED31F2">
        <w:rPr>
          <w:bCs/>
          <w:color w:val="000000" w:themeColor="text1"/>
        </w:rPr>
        <w:t xml:space="preserve"> az Mötv. </w:t>
      </w:r>
      <w:r w:rsidRPr="00ED31F2">
        <w:rPr>
          <w:b/>
          <w:color w:val="000000" w:themeColor="text1"/>
        </w:rPr>
        <w:t>polgármesteri illetmény megállapítására</w:t>
      </w:r>
      <w:r w:rsidRPr="00ED31F2">
        <w:rPr>
          <w:bCs/>
          <w:color w:val="000000" w:themeColor="text1"/>
        </w:rPr>
        <w:t xml:space="preserve"> vonatkozó szabályai, amely a vármegyei közgyűlés elnöke és alelnöke illetményének</w:t>
      </w:r>
      <w:r w:rsidR="00E3153A" w:rsidRPr="00ED31F2">
        <w:rPr>
          <w:bCs/>
          <w:color w:val="000000" w:themeColor="text1"/>
        </w:rPr>
        <w:t xml:space="preserve"> és költségtérítésének</w:t>
      </w:r>
      <w:r w:rsidRPr="00ED31F2">
        <w:rPr>
          <w:bCs/>
          <w:color w:val="000000" w:themeColor="text1"/>
        </w:rPr>
        <w:t xml:space="preserve"> meg</w:t>
      </w:r>
      <w:r w:rsidR="00E3153A" w:rsidRPr="00ED31F2">
        <w:rPr>
          <w:bCs/>
          <w:color w:val="000000" w:themeColor="text1"/>
        </w:rPr>
        <w:t>állapítását</w:t>
      </w:r>
      <w:r w:rsidRPr="00ED31F2">
        <w:rPr>
          <w:bCs/>
          <w:color w:val="000000" w:themeColor="text1"/>
        </w:rPr>
        <w:t xml:space="preserve"> </w:t>
      </w:r>
      <w:r w:rsidR="00E3153A" w:rsidRPr="00ED31F2">
        <w:rPr>
          <w:bCs/>
          <w:color w:val="000000" w:themeColor="text1"/>
        </w:rPr>
        <w:t>is érinti</w:t>
      </w:r>
      <w:r w:rsidRPr="00ED31F2">
        <w:rPr>
          <w:bCs/>
          <w:color w:val="000000" w:themeColor="text1"/>
        </w:rPr>
        <w:t xml:space="preserve">. A módosítás eredményeként a Központi Statisztikai Hivatal által hivatalosan közzétett, a tárgyévet megelőző évre vonatkozó </w:t>
      </w:r>
      <w:r w:rsidRPr="00ED31F2">
        <w:rPr>
          <w:b/>
          <w:color w:val="000000" w:themeColor="text1"/>
        </w:rPr>
        <w:t>nemzetgazdasá</w:t>
      </w:r>
      <w:r w:rsidR="00E3153A" w:rsidRPr="00ED31F2">
        <w:rPr>
          <w:b/>
          <w:color w:val="000000" w:themeColor="text1"/>
        </w:rPr>
        <w:t>g</w:t>
      </w:r>
      <w:r w:rsidRPr="00ED31F2">
        <w:rPr>
          <w:b/>
          <w:color w:val="000000" w:themeColor="text1"/>
        </w:rPr>
        <w:t>i havi átlago</w:t>
      </w:r>
      <w:r w:rsidR="00E3153A" w:rsidRPr="00ED31F2">
        <w:rPr>
          <w:b/>
          <w:color w:val="000000" w:themeColor="text1"/>
        </w:rPr>
        <w:t>s</w:t>
      </w:r>
      <w:r w:rsidRPr="00ED31F2">
        <w:rPr>
          <w:b/>
          <w:color w:val="000000" w:themeColor="text1"/>
        </w:rPr>
        <w:t xml:space="preserve"> bruttó kereset</w:t>
      </w:r>
      <w:r w:rsidRPr="00ED31F2">
        <w:rPr>
          <w:bCs/>
          <w:color w:val="000000" w:themeColor="text1"/>
        </w:rPr>
        <w:t xml:space="preserve"> függvényében k</w:t>
      </w:r>
      <w:r w:rsidR="00E3153A" w:rsidRPr="00ED31F2">
        <w:rPr>
          <w:bCs/>
          <w:color w:val="000000" w:themeColor="text1"/>
        </w:rPr>
        <w:t xml:space="preserve">ell meghatározni az illetményt. A vármegyei </w:t>
      </w:r>
      <w:r w:rsidR="00E3153A" w:rsidRPr="00ED31F2">
        <w:rPr>
          <w:b/>
          <w:color w:val="000000" w:themeColor="text1"/>
        </w:rPr>
        <w:t>közgyűlés elnöke</w:t>
      </w:r>
      <w:r w:rsidR="00E3153A" w:rsidRPr="00ED31F2">
        <w:rPr>
          <w:bCs/>
          <w:color w:val="000000" w:themeColor="text1"/>
        </w:rPr>
        <w:t xml:space="preserve"> esetében az illetmény az </w:t>
      </w:r>
      <w:r w:rsidR="00E3153A" w:rsidRPr="00ED31F2">
        <w:rPr>
          <w:b/>
          <w:color w:val="000000" w:themeColor="text1"/>
        </w:rPr>
        <w:t>átlagbér négyszerese</w:t>
      </w:r>
      <w:r w:rsidR="00E3153A" w:rsidRPr="00ED31F2">
        <w:rPr>
          <w:bCs/>
          <w:color w:val="000000" w:themeColor="text1"/>
        </w:rPr>
        <w:t xml:space="preserve">. A főállású alelnöki illetmény meghatározásának számítási módja nem változott, azt továbbra is az elnöki illetmény 70-90 % között lehet, esetünkben a közgyűlés döntése alapján 90 %.  Az illetményt minden év július 1-től újra meg kell állapítani az előző évi átlagbér összege alapján. </w:t>
      </w:r>
      <w:r w:rsidR="00ED31F2" w:rsidRPr="00ED31F2">
        <w:rPr>
          <w:bCs/>
          <w:color w:val="000000" w:themeColor="text1"/>
        </w:rPr>
        <w:t xml:space="preserve">Az illetményváltozás jelentős többletköltséggel járna, azonban annak </w:t>
      </w:r>
      <w:r w:rsidR="004C66DD">
        <w:rPr>
          <w:bCs/>
          <w:color w:val="000000" w:themeColor="text1"/>
        </w:rPr>
        <w:t xml:space="preserve">költségvetési </w:t>
      </w:r>
      <w:r w:rsidR="00ED31F2" w:rsidRPr="00ED31F2">
        <w:rPr>
          <w:bCs/>
          <w:color w:val="000000" w:themeColor="text1"/>
        </w:rPr>
        <w:t xml:space="preserve">hatása beépítésre került a </w:t>
      </w:r>
      <w:r w:rsidR="00ED31F2" w:rsidRPr="00ED31F2">
        <w:rPr>
          <w:b/>
          <w:color w:val="000000" w:themeColor="text1"/>
        </w:rPr>
        <w:t>központi támogatásunkba</w:t>
      </w:r>
      <w:r w:rsidR="00ED31F2" w:rsidRPr="00ED31F2">
        <w:rPr>
          <w:bCs/>
          <w:color w:val="000000" w:themeColor="text1"/>
        </w:rPr>
        <w:t xml:space="preserve">, amely 311,1 millió Ft-ról </w:t>
      </w:r>
      <w:r w:rsidR="00ED31F2" w:rsidRPr="00ED31F2">
        <w:rPr>
          <w:b/>
          <w:color w:val="000000" w:themeColor="text1"/>
        </w:rPr>
        <w:t>390,6 millió Ft</w:t>
      </w:r>
      <w:r w:rsidR="00ED31F2" w:rsidRPr="00ED31F2">
        <w:rPr>
          <w:bCs/>
          <w:color w:val="000000" w:themeColor="text1"/>
        </w:rPr>
        <w:t>-ra emelkedik.</w:t>
      </w:r>
    </w:p>
    <w:p w14:paraId="7D62532B" w14:textId="4E74FF8A" w:rsidR="00EA1080" w:rsidRPr="00ED31F2" w:rsidRDefault="003F3153" w:rsidP="00297B79">
      <w:pPr>
        <w:pStyle w:val="Standard"/>
        <w:numPr>
          <w:ilvl w:val="0"/>
          <w:numId w:val="43"/>
        </w:numPr>
        <w:jc w:val="both"/>
        <w:rPr>
          <w:bCs/>
        </w:rPr>
      </w:pPr>
      <w:r w:rsidRPr="00ED31F2">
        <w:rPr>
          <w:bCs/>
        </w:rPr>
        <w:t>202</w:t>
      </w:r>
      <w:r w:rsidR="0048523B" w:rsidRPr="00ED31F2">
        <w:rPr>
          <w:bCs/>
        </w:rPr>
        <w:t>5</w:t>
      </w:r>
      <w:r w:rsidRPr="00ED31F2">
        <w:rPr>
          <w:bCs/>
        </w:rPr>
        <w:t xml:space="preserve">. </w:t>
      </w:r>
      <w:r w:rsidR="0048523B" w:rsidRPr="00ED31F2">
        <w:rPr>
          <w:bCs/>
        </w:rPr>
        <w:t>január</w:t>
      </w:r>
      <w:r w:rsidRPr="00ED31F2">
        <w:rPr>
          <w:bCs/>
        </w:rPr>
        <w:t xml:space="preserve"> 1-től a </w:t>
      </w:r>
      <w:r w:rsidRPr="00ED31F2">
        <w:rPr>
          <w:b/>
        </w:rPr>
        <w:t>minimálbér</w:t>
      </w:r>
      <w:r w:rsidR="009E23F1" w:rsidRPr="00ED31F2">
        <w:rPr>
          <w:bCs/>
        </w:rPr>
        <w:t xml:space="preserve"> bruttó 2</w:t>
      </w:r>
      <w:r w:rsidR="0048523B" w:rsidRPr="00ED31F2">
        <w:rPr>
          <w:bCs/>
        </w:rPr>
        <w:t>66</w:t>
      </w:r>
      <w:r w:rsidR="009E23F1" w:rsidRPr="00ED31F2">
        <w:rPr>
          <w:bCs/>
        </w:rPr>
        <w:t>.</w:t>
      </w:r>
      <w:r w:rsidR="0048523B" w:rsidRPr="00ED31F2">
        <w:rPr>
          <w:bCs/>
        </w:rPr>
        <w:t>8</w:t>
      </w:r>
      <w:r w:rsidR="009E23F1" w:rsidRPr="00ED31F2">
        <w:rPr>
          <w:bCs/>
        </w:rPr>
        <w:t xml:space="preserve">00 Ft-ról </w:t>
      </w:r>
      <w:r w:rsidR="009E23F1" w:rsidRPr="00ED31F2">
        <w:rPr>
          <w:b/>
          <w:bCs/>
        </w:rPr>
        <w:t>2</w:t>
      </w:r>
      <w:r w:rsidR="0048523B" w:rsidRPr="00ED31F2">
        <w:rPr>
          <w:b/>
          <w:bCs/>
        </w:rPr>
        <w:t>90</w:t>
      </w:r>
      <w:r w:rsidR="009E23F1" w:rsidRPr="00ED31F2">
        <w:rPr>
          <w:b/>
          <w:bCs/>
        </w:rPr>
        <w:t>.8</w:t>
      </w:r>
      <w:r w:rsidR="00297B79" w:rsidRPr="00ED31F2">
        <w:rPr>
          <w:b/>
          <w:bCs/>
        </w:rPr>
        <w:t>00 Ft</w:t>
      </w:r>
      <w:r w:rsidR="00297B79" w:rsidRPr="00ED31F2">
        <w:rPr>
          <w:bCs/>
        </w:rPr>
        <w:t>-ra (+</w:t>
      </w:r>
      <w:r w:rsidR="0048523B" w:rsidRPr="00ED31F2">
        <w:rPr>
          <w:bCs/>
        </w:rPr>
        <w:t>9</w:t>
      </w:r>
      <w:r w:rsidRPr="00ED31F2">
        <w:rPr>
          <w:bCs/>
        </w:rPr>
        <w:t xml:space="preserve">%), a szakképzettséget igénylő pozíciókban a </w:t>
      </w:r>
      <w:r w:rsidRPr="00ED31F2">
        <w:rPr>
          <w:b/>
        </w:rPr>
        <w:t>garantált bérminimum</w:t>
      </w:r>
      <w:r w:rsidR="009E23F1" w:rsidRPr="00ED31F2">
        <w:rPr>
          <w:bCs/>
        </w:rPr>
        <w:t xml:space="preserve"> bruttó </w:t>
      </w:r>
      <w:r w:rsidR="0048523B" w:rsidRPr="00ED31F2">
        <w:rPr>
          <w:bCs/>
        </w:rPr>
        <w:t>326.</w:t>
      </w:r>
      <w:r w:rsidR="009E23F1" w:rsidRPr="00ED31F2">
        <w:rPr>
          <w:bCs/>
        </w:rPr>
        <w:t>00</w:t>
      </w:r>
      <w:r w:rsidR="00FC7B5F">
        <w:rPr>
          <w:bCs/>
        </w:rPr>
        <w:t>0</w:t>
      </w:r>
      <w:r w:rsidR="009E23F1" w:rsidRPr="00ED31F2">
        <w:rPr>
          <w:bCs/>
        </w:rPr>
        <w:t xml:space="preserve"> Ft-ról </w:t>
      </w:r>
      <w:r w:rsidR="009E23F1" w:rsidRPr="00ED31F2">
        <w:rPr>
          <w:b/>
          <w:bCs/>
        </w:rPr>
        <w:lastRenderedPageBreak/>
        <w:t>3</w:t>
      </w:r>
      <w:r w:rsidR="0048523B" w:rsidRPr="00ED31F2">
        <w:rPr>
          <w:b/>
          <w:bCs/>
        </w:rPr>
        <w:t>48</w:t>
      </w:r>
      <w:r w:rsidR="009E23F1" w:rsidRPr="00ED31F2">
        <w:rPr>
          <w:b/>
          <w:bCs/>
        </w:rPr>
        <w:t>.</w:t>
      </w:r>
      <w:r w:rsidR="0048523B" w:rsidRPr="00ED31F2">
        <w:rPr>
          <w:b/>
          <w:bCs/>
        </w:rPr>
        <w:t>8</w:t>
      </w:r>
      <w:r w:rsidR="009E23F1" w:rsidRPr="00ED31F2">
        <w:rPr>
          <w:b/>
          <w:bCs/>
        </w:rPr>
        <w:t>00</w:t>
      </w:r>
      <w:r w:rsidR="00297B79" w:rsidRPr="00ED31F2">
        <w:rPr>
          <w:b/>
          <w:bCs/>
        </w:rPr>
        <w:t xml:space="preserve"> Ft</w:t>
      </w:r>
      <w:r w:rsidR="00297B79" w:rsidRPr="00ED31F2">
        <w:rPr>
          <w:bCs/>
        </w:rPr>
        <w:t>-ra (+</w:t>
      </w:r>
      <w:r w:rsidR="00EA1080" w:rsidRPr="00ED31F2">
        <w:rPr>
          <w:bCs/>
        </w:rPr>
        <w:t>7</w:t>
      </w:r>
      <w:r w:rsidRPr="00ED31F2">
        <w:rPr>
          <w:bCs/>
        </w:rPr>
        <w:t xml:space="preserve">%) emelkedett. </w:t>
      </w:r>
      <w:r w:rsidR="00EA1080" w:rsidRPr="00ED31F2">
        <w:rPr>
          <w:bCs/>
        </w:rPr>
        <w:t>A 3 évre szóló bérmegállapodás alapján a minimálbér 2026. évben 13 %-kal, bruttó 328.600 Ft-ra, míg 2027. évben 14 %-kal, bruttó 374.600 Ft-ra fog emelkedni.</w:t>
      </w:r>
    </w:p>
    <w:p w14:paraId="47F9BA1E" w14:textId="71058F96" w:rsidR="003F3153" w:rsidRPr="00ED31F2" w:rsidRDefault="003F3153" w:rsidP="00EA1080">
      <w:pPr>
        <w:pStyle w:val="Standard"/>
        <w:ind w:left="720"/>
        <w:jc w:val="both"/>
        <w:rPr>
          <w:bCs/>
        </w:rPr>
      </w:pPr>
      <w:r w:rsidRPr="00ED31F2">
        <w:rPr>
          <w:bCs/>
        </w:rPr>
        <w:t>A szociális hozzájárulási adó mértékében változás nem történt, mértéke 13 %.</w:t>
      </w:r>
    </w:p>
    <w:p w14:paraId="4C366B8A" w14:textId="1A74E188" w:rsidR="003F3153" w:rsidRPr="00ED31F2" w:rsidRDefault="003F3153" w:rsidP="009415F9">
      <w:pPr>
        <w:pStyle w:val="Standard"/>
        <w:numPr>
          <w:ilvl w:val="0"/>
          <w:numId w:val="43"/>
        </w:numPr>
        <w:jc w:val="both"/>
        <w:rPr>
          <w:bCs/>
        </w:rPr>
      </w:pPr>
      <w:r w:rsidRPr="00ED31F2">
        <w:rPr>
          <w:bCs/>
        </w:rPr>
        <w:t xml:space="preserve">2023. január 1-től a duplájára emelkedett a </w:t>
      </w:r>
      <w:r w:rsidRPr="00ED31F2">
        <w:rPr>
          <w:b/>
        </w:rPr>
        <w:t>munkába járás</w:t>
      </w:r>
      <w:r w:rsidRPr="00ED31F2">
        <w:rPr>
          <w:bCs/>
        </w:rPr>
        <w:t xml:space="preserve"> jogcímen </w:t>
      </w:r>
      <w:r w:rsidR="00E6596D" w:rsidRPr="00ED31F2">
        <w:rPr>
          <w:bCs/>
        </w:rPr>
        <w:t>kötelezően adandó, illetve adható</w:t>
      </w:r>
      <w:r w:rsidRPr="00ED31F2">
        <w:rPr>
          <w:bCs/>
        </w:rPr>
        <w:t xml:space="preserve"> adómentes költségtérítés összege: a minimum ada</w:t>
      </w:r>
      <w:r w:rsidR="00E6596D" w:rsidRPr="00ED31F2">
        <w:rPr>
          <w:bCs/>
        </w:rPr>
        <w:t>nd</w:t>
      </w:r>
      <w:r w:rsidRPr="00ED31F2">
        <w:rPr>
          <w:bCs/>
        </w:rPr>
        <w:t>ó összeg 18 Ft/km-re (9 Ft/km-ről), míg a maximum</w:t>
      </w:r>
      <w:r w:rsidR="00E6596D" w:rsidRPr="00ED31F2">
        <w:rPr>
          <w:bCs/>
        </w:rPr>
        <w:t xml:space="preserve"> adható összeg</w:t>
      </w:r>
      <w:r w:rsidR="0012202C" w:rsidRPr="00ED31F2">
        <w:rPr>
          <w:bCs/>
        </w:rPr>
        <w:t xml:space="preserve"> </w:t>
      </w:r>
      <w:r w:rsidRPr="00ED31F2">
        <w:rPr>
          <w:bCs/>
        </w:rPr>
        <w:t>30 Ft/km-re (</w:t>
      </w:r>
      <w:r w:rsidR="001B39AD" w:rsidRPr="00ED31F2">
        <w:rPr>
          <w:bCs/>
        </w:rPr>
        <w:t>15 Ft/km-ről) emelkedett. A 202</w:t>
      </w:r>
      <w:r w:rsidR="00EA1080" w:rsidRPr="00ED31F2">
        <w:rPr>
          <w:bCs/>
        </w:rPr>
        <w:t>5</w:t>
      </w:r>
      <w:r w:rsidRPr="00ED31F2">
        <w:rPr>
          <w:bCs/>
        </w:rPr>
        <w:t>. évi költségvetés a maximum adómentesen adható 30 Ft/km összeggel készült.</w:t>
      </w:r>
    </w:p>
    <w:p w14:paraId="4DD5BE5C" w14:textId="586D3050" w:rsidR="003F3153" w:rsidRPr="00ED31F2" w:rsidRDefault="003F3153" w:rsidP="009415F9">
      <w:pPr>
        <w:pStyle w:val="Standard"/>
        <w:numPr>
          <w:ilvl w:val="0"/>
          <w:numId w:val="43"/>
        </w:numPr>
        <w:jc w:val="both"/>
        <w:rPr>
          <w:bCs/>
        </w:rPr>
      </w:pPr>
      <w:r w:rsidRPr="00ED31F2">
        <w:rPr>
          <w:bCs/>
        </w:rPr>
        <w:t xml:space="preserve">a </w:t>
      </w:r>
      <w:r w:rsidRPr="00ED31F2">
        <w:rPr>
          <w:b/>
        </w:rPr>
        <w:t>cafetéria</w:t>
      </w:r>
      <w:r w:rsidRPr="00ED31F2">
        <w:rPr>
          <w:bCs/>
        </w:rPr>
        <w:t xml:space="preserve"> éves összege bruttó 512.000 Ft/fő összegben került betervezésre a költségvetésben.</w:t>
      </w:r>
    </w:p>
    <w:p w14:paraId="6101F007" w14:textId="4991F268" w:rsidR="003F3153" w:rsidRPr="00ED31F2" w:rsidRDefault="003F3153" w:rsidP="009415F9">
      <w:pPr>
        <w:pStyle w:val="Standard"/>
        <w:numPr>
          <w:ilvl w:val="0"/>
          <w:numId w:val="43"/>
        </w:numPr>
        <w:jc w:val="both"/>
        <w:rPr>
          <w:bCs/>
        </w:rPr>
      </w:pPr>
      <w:r w:rsidRPr="00ED31F2">
        <w:rPr>
          <w:bCs/>
        </w:rPr>
        <w:t xml:space="preserve">a köztisztviselői </w:t>
      </w:r>
      <w:r w:rsidRPr="00ED31F2">
        <w:rPr>
          <w:b/>
        </w:rPr>
        <w:t>illetményalap</w:t>
      </w:r>
      <w:r w:rsidRPr="00ED31F2">
        <w:rPr>
          <w:bCs/>
        </w:rPr>
        <w:t xml:space="preserve"> központi szabályozásában nincs változás, az továbbra is 38.650 Ft, amelytől a helyi önkormányzat saját </w:t>
      </w:r>
      <w:r w:rsidR="00160FB1" w:rsidRPr="00ED31F2">
        <w:rPr>
          <w:bCs/>
        </w:rPr>
        <w:t>forrása terhére eltérhet. A 202</w:t>
      </w:r>
      <w:r w:rsidR="00EA1080" w:rsidRPr="00ED31F2">
        <w:rPr>
          <w:bCs/>
        </w:rPr>
        <w:t>5</w:t>
      </w:r>
      <w:r w:rsidRPr="00ED31F2">
        <w:rPr>
          <w:bCs/>
        </w:rPr>
        <w:t>. évi költségvetés</w:t>
      </w:r>
      <w:r w:rsidR="000A3B9D" w:rsidRPr="00ED31F2">
        <w:rPr>
          <w:bCs/>
        </w:rPr>
        <w:t>t</w:t>
      </w:r>
      <w:r w:rsidRPr="00ED31F2">
        <w:rPr>
          <w:bCs/>
        </w:rPr>
        <w:t xml:space="preserve"> </w:t>
      </w:r>
      <w:r w:rsidR="00EA1080" w:rsidRPr="004C66DD">
        <w:rPr>
          <w:b/>
        </w:rPr>
        <w:t>61</w:t>
      </w:r>
      <w:r w:rsidR="000A3B9D" w:rsidRPr="004C66DD">
        <w:rPr>
          <w:b/>
        </w:rPr>
        <w:t>.</w:t>
      </w:r>
      <w:r w:rsidR="00EA1080" w:rsidRPr="004C66DD">
        <w:rPr>
          <w:b/>
        </w:rPr>
        <w:t>5</w:t>
      </w:r>
      <w:r w:rsidR="000A3B9D" w:rsidRPr="004C66DD">
        <w:rPr>
          <w:b/>
        </w:rPr>
        <w:t>00 Ft</w:t>
      </w:r>
      <w:r w:rsidR="000A3B9D" w:rsidRPr="00ED31F2">
        <w:rPr>
          <w:bCs/>
        </w:rPr>
        <w:t xml:space="preserve"> összegű</w:t>
      </w:r>
      <w:r w:rsidRPr="00ED31F2">
        <w:rPr>
          <w:bCs/>
        </w:rPr>
        <w:t xml:space="preserve"> illetményalap</w:t>
      </w:r>
      <w:r w:rsidR="000A3B9D" w:rsidRPr="00ED31F2">
        <w:rPr>
          <w:bCs/>
        </w:rPr>
        <w:t>pal</w:t>
      </w:r>
      <w:r w:rsidR="00EA1080" w:rsidRPr="00ED31F2">
        <w:rPr>
          <w:bCs/>
        </w:rPr>
        <w:t xml:space="preserve"> </w:t>
      </w:r>
      <w:r w:rsidR="000A3B9D" w:rsidRPr="00ED31F2">
        <w:rPr>
          <w:bCs/>
        </w:rPr>
        <w:t>terveztük</w:t>
      </w:r>
      <w:r w:rsidR="00EA1080" w:rsidRPr="00ED31F2">
        <w:rPr>
          <w:bCs/>
        </w:rPr>
        <w:t xml:space="preserve">, </w:t>
      </w:r>
      <w:r w:rsidR="000433DC">
        <w:rPr>
          <w:bCs/>
        </w:rPr>
        <w:t>szemben</w:t>
      </w:r>
      <w:r w:rsidR="00EA1080" w:rsidRPr="00ED31F2">
        <w:rPr>
          <w:bCs/>
        </w:rPr>
        <w:t xml:space="preserve"> a 2024. évi 51.000 Ft összegű illetményalap</w:t>
      </w:r>
      <w:r w:rsidR="000433DC">
        <w:rPr>
          <w:bCs/>
        </w:rPr>
        <w:t>pal</w:t>
      </w:r>
      <w:r w:rsidR="000A3B9D" w:rsidRPr="00ED31F2">
        <w:rPr>
          <w:bCs/>
        </w:rPr>
        <w:t>.</w:t>
      </w:r>
      <w:r w:rsidRPr="00ED31F2">
        <w:rPr>
          <w:bCs/>
        </w:rPr>
        <w:t xml:space="preserve"> </w:t>
      </w:r>
    </w:p>
    <w:p w14:paraId="310CDC98" w14:textId="348C7CD2" w:rsidR="000A3B9D" w:rsidRPr="00ED31F2" w:rsidRDefault="000A3B9D" w:rsidP="009415F9">
      <w:pPr>
        <w:pStyle w:val="Standard"/>
        <w:numPr>
          <w:ilvl w:val="0"/>
          <w:numId w:val="43"/>
        </w:numPr>
        <w:jc w:val="both"/>
        <w:rPr>
          <w:bCs/>
        </w:rPr>
      </w:pPr>
      <w:r w:rsidRPr="00ED31F2">
        <w:rPr>
          <w:bCs/>
        </w:rPr>
        <w:t xml:space="preserve">a tárgyévi költségvetésben az </w:t>
      </w:r>
      <w:r w:rsidRPr="00ED31F2">
        <w:rPr>
          <w:b/>
        </w:rPr>
        <w:t>illetménykiegészítés</w:t>
      </w:r>
      <w:r w:rsidRPr="00ED31F2">
        <w:rPr>
          <w:bCs/>
        </w:rPr>
        <w:t xml:space="preserve"> mértéke felsőfokú iskolai végzettségű köztisztviselők esetében </w:t>
      </w:r>
      <w:r w:rsidRPr="004C66DD">
        <w:rPr>
          <w:b/>
        </w:rPr>
        <w:t>40 %</w:t>
      </w:r>
      <w:r w:rsidRPr="00ED31F2">
        <w:rPr>
          <w:bCs/>
        </w:rPr>
        <w:t xml:space="preserve">-ban, míg az érettségi végzettséggel rendelkező köztisztviselők és ügykezelők esetében </w:t>
      </w:r>
      <w:r w:rsidRPr="004C66DD">
        <w:rPr>
          <w:b/>
        </w:rPr>
        <w:t>20 %</w:t>
      </w:r>
      <w:r w:rsidRPr="00ED31F2">
        <w:rPr>
          <w:bCs/>
        </w:rPr>
        <w:t>-ban került meghatározásra.</w:t>
      </w:r>
    </w:p>
    <w:p w14:paraId="0F5B36FF" w14:textId="2D56DC0B" w:rsidR="007E461D" w:rsidRPr="00ED31F2" w:rsidRDefault="000A6B07" w:rsidP="000735E7">
      <w:pPr>
        <w:pStyle w:val="Standard"/>
        <w:numPr>
          <w:ilvl w:val="0"/>
          <w:numId w:val="43"/>
        </w:numPr>
        <w:jc w:val="both"/>
        <w:rPr>
          <w:bCs/>
        </w:rPr>
      </w:pPr>
      <w:r w:rsidRPr="00ED31F2">
        <w:t xml:space="preserve">a </w:t>
      </w:r>
      <w:r w:rsidR="007E461D" w:rsidRPr="00ED31F2">
        <w:t>tárgyévi</w:t>
      </w:r>
      <w:r w:rsidRPr="00ED31F2">
        <w:t xml:space="preserve"> költségvetésben </w:t>
      </w:r>
      <w:r w:rsidR="009B44B0" w:rsidRPr="00ED31F2">
        <w:t xml:space="preserve">is kiemelt szerepet kap a </w:t>
      </w:r>
      <w:r w:rsidR="009B44B0" w:rsidRPr="004C66DD">
        <w:rPr>
          <w:b/>
          <w:bCs/>
        </w:rPr>
        <w:t>pályázati tevékenység</w:t>
      </w:r>
      <w:r w:rsidR="007E461D" w:rsidRPr="00ED31F2">
        <w:t xml:space="preserve">. </w:t>
      </w:r>
      <w:r w:rsidR="000735E7" w:rsidRPr="00ED31F2">
        <w:rPr>
          <w:bCs/>
        </w:rPr>
        <w:t>2025-ben</w:t>
      </w:r>
      <w:r w:rsidR="00D5590E" w:rsidRPr="00ED31F2">
        <w:rPr>
          <w:bCs/>
        </w:rPr>
        <w:t xml:space="preserve"> újabb </w:t>
      </w:r>
      <w:r w:rsidR="00B7203D">
        <w:rPr>
          <w:bCs/>
        </w:rPr>
        <w:t>6</w:t>
      </w:r>
      <w:r w:rsidR="00D5590E" w:rsidRPr="00ED31F2">
        <w:rPr>
          <w:bCs/>
        </w:rPr>
        <w:t xml:space="preserve"> projekt:</w:t>
      </w:r>
      <w:r w:rsidR="000735E7" w:rsidRPr="00ED31F2">
        <w:rPr>
          <w:bCs/>
        </w:rPr>
        <w:t xml:space="preserve"> 3 </w:t>
      </w:r>
      <w:r w:rsidR="00FE6B57">
        <w:rPr>
          <w:bCs/>
        </w:rPr>
        <w:t>közvetlen európai uniós (</w:t>
      </w:r>
      <w:r w:rsidR="000735E7" w:rsidRPr="00ED31F2">
        <w:rPr>
          <w:bCs/>
        </w:rPr>
        <w:t>nemzetközi</w:t>
      </w:r>
      <w:r w:rsidR="00FE6B57">
        <w:rPr>
          <w:bCs/>
        </w:rPr>
        <w:t>)</w:t>
      </w:r>
      <w:r w:rsidR="000735E7" w:rsidRPr="00ED31F2">
        <w:rPr>
          <w:bCs/>
        </w:rPr>
        <w:t xml:space="preserve">, 1 </w:t>
      </w:r>
      <w:r w:rsidR="00FE6B57">
        <w:rPr>
          <w:bCs/>
        </w:rPr>
        <w:t xml:space="preserve">nem közvetlen </w:t>
      </w:r>
      <w:r w:rsidR="000735E7" w:rsidRPr="00ED31F2">
        <w:rPr>
          <w:bCs/>
        </w:rPr>
        <w:t>uniós és 2 hazai költségvetésből finanszírozott pályázat megvalósítása kezdődik el, így a tárgyévben</w:t>
      </w:r>
      <w:r w:rsidR="007E461D" w:rsidRPr="00ED31F2">
        <w:t xml:space="preserve"> megvalósítás alatt </w:t>
      </w:r>
      <w:r w:rsidR="00D5590E" w:rsidRPr="00ED31F2">
        <w:t>lévő</w:t>
      </w:r>
      <w:r w:rsidR="007E461D" w:rsidRPr="00ED31F2">
        <w:t xml:space="preserve"> </w:t>
      </w:r>
      <w:r w:rsidR="007E461D" w:rsidRPr="004C66DD">
        <w:rPr>
          <w:b/>
          <w:bCs/>
        </w:rPr>
        <w:t>16 pályázat</w:t>
      </w:r>
      <w:r w:rsidR="007E461D" w:rsidRPr="00ED31F2">
        <w:t xml:space="preserve"> 2025. évre tervezett </w:t>
      </w:r>
      <w:r w:rsidR="00D5590E" w:rsidRPr="00ED31F2">
        <w:t>össz</w:t>
      </w:r>
      <w:r w:rsidR="007E461D" w:rsidRPr="00ED31F2">
        <w:t xml:space="preserve">kiadása </w:t>
      </w:r>
      <w:r w:rsidR="007E461D" w:rsidRPr="004C66DD">
        <w:rPr>
          <w:b/>
          <w:bCs/>
        </w:rPr>
        <w:t>2.</w:t>
      </w:r>
      <w:r w:rsidR="00B7203D">
        <w:rPr>
          <w:b/>
          <w:bCs/>
        </w:rPr>
        <w:t>534.636.768</w:t>
      </w:r>
      <w:r w:rsidR="007E461D" w:rsidRPr="004C66DD">
        <w:rPr>
          <w:b/>
          <w:bCs/>
        </w:rPr>
        <w:t xml:space="preserve"> Ft</w:t>
      </w:r>
      <w:r w:rsidR="007E461D" w:rsidRPr="00ED31F2">
        <w:t xml:space="preserve">, amely a 2025. évi költségvetés közel </w:t>
      </w:r>
      <w:r w:rsidR="007E461D" w:rsidRPr="004C66DD">
        <w:rPr>
          <w:b/>
          <w:bCs/>
        </w:rPr>
        <w:t>86 %</w:t>
      </w:r>
      <w:r w:rsidR="007E461D" w:rsidRPr="00ED31F2">
        <w:t xml:space="preserve">-a. </w:t>
      </w:r>
    </w:p>
    <w:p w14:paraId="1A3E05DC" w14:textId="2936098C" w:rsidR="003B31ED" w:rsidRPr="00635A6A" w:rsidRDefault="003B31ED">
      <w:pPr>
        <w:pStyle w:val="Standard"/>
        <w:jc w:val="both"/>
      </w:pPr>
    </w:p>
    <w:p w14:paraId="30B2A9E1" w14:textId="27CE6039" w:rsidR="003B31ED" w:rsidRPr="00635A6A" w:rsidRDefault="00641AB2">
      <w:pPr>
        <w:pStyle w:val="Standard"/>
        <w:jc w:val="both"/>
      </w:pPr>
      <w:r w:rsidRPr="00635A6A">
        <w:t>Az Áht. 23. § (2) bekezdésének előírásai alapján az önkormányzat a költségvetését rendeletben állapítja meg, amely a költségvetési bevételi, kiadási előirányzatait működési és felhalmozási bevételek, kiadások, kiemelt előirányzatok, továbbá kötelező feladatok, önként vállalt feladatok, állami (államigazgatási) feladatok szerinti bontásban tartalmazza. Az államháztartásról szóló törvény végrehajtására kiadott 368/2011. (XII. 31.) Korm. rendelet (továbbiakban Ávr.) előírásainak megfelelően külön költségvetéssel rendelkezik az önkormányzat és az önkormányzati hivatal. Az irányító szervi támogatás nem része a költségvetési bevételeknek és kiadásoknak, így az önkormányzat esetében az irányító szervi támogatás, mint finanszírozási kiadás, az önkormányzati hivatal esetében, mint finanszírozási bevétel jelenik meg.</w:t>
      </w:r>
    </w:p>
    <w:p w14:paraId="512BFAEC" w14:textId="77777777" w:rsidR="003B31ED" w:rsidRPr="00635A6A" w:rsidRDefault="003B31ED">
      <w:pPr>
        <w:pStyle w:val="Standard"/>
        <w:jc w:val="both"/>
      </w:pPr>
    </w:p>
    <w:p w14:paraId="1F4615F0" w14:textId="2860FC4B" w:rsidR="003B31ED" w:rsidRPr="00635A6A" w:rsidRDefault="00641AB2">
      <w:pPr>
        <w:pStyle w:val="Standard"/>
        <w:jc w:val="center"/>
      </w:pPr>
      <w:r w:rsidRPr="00635A6A">
        <w:rPr>
          <w:b/>
        </w:rPr>
        <w:t xml:space="preserve">A </w:t>
      </w:r>
      <w:r w:rsidR="00E6596D" w:rsidRPr="00635A6A">
        <w:rPr>
          <w:b/>
        </w:rPr>
        <w:t>vár</w:t>
      </w:r>
      <w:r w:rsidRPr="00635A6A">
        <w:rPr>
          <w:b/>
        </w:rPr>
        <w:t>megyei önkormányzatok bevételeinek központi szabályozása</w:t>
      </w:r>
    </w:p>
    <w:p w14:paraId="5EC468BC" w14:textId="77777777" w:rsidR="003B31ED" w:rsidRPr="00635A6A" w:rsidRDefault="003B31ED">
      <w:pPr>
        <w:pStyle w:val="Standard"/>
        <w:jc w:val="center"/>
      </w:pPr>
    </w:p>
    <w:p w14:paraId="2FF2D841" w14:textId="61506BCE" w:rsidR="003B31ED" w:rsidRPr="00635A6A" w:rsidRDefault="00641AB2">
      <w:pPr>
        <w:pStyle w:val="Standard"/>
        <w:jc w:val="both"/>
      </w:pPr>
      <w:r w:rsidRPr="00635A6A">
        <w:t>A költségvetési törvény 3. mellékletének 2.1.7. jogcíme tartalmazza a vármegyei önkormányzatok feladatainak támogatás</w:t>
      </w:r>
      <w:r w:rsidR="004F2A63" w:rsidRPr="00635A6A">
        <w:t>át. A központi költségvetés 202</w:t>
      </w:r>
      <w:r w:rsidR="00F43787" w:rsidRPr="00635A6A">
        <w:t>5</w:t>
      </w:r>
      <w:r w:rsidRPr="00635A6A">
        <w:t xml:space="preserve">. évben </w:t>
      </w:r>
      <w:r w:rsidR="00F43787" w:rsidRPr="00635A6A">
        <w:t>6.998</w:t>
      </w:r>
      <w:r w:rsidRPr="00635A6A">
        <w:t>,</w:t>
      </w:r>
      <w:r w:rsidR="00F43787" w:rsidRPr="00635A6A">
        <w:t>6</w:t>
      </w:r>
      <w:r w:rsidRPr="00635A6A">
        <w:t xml:space="preserve"> millió Ft-ot biztosít a vármegyei önkormányzatok feladatainak ellátására.</w:t>
      </w:r>
    </w:p>
    <w:p w14:paraId="125EF4EE" w14:textId="428EDAE2" w:rsidR="003B31ED" w:rsidRPr="00635A6A" w:rsidRDefault="00641AB2">
      <w:pPr>
        <w:pStyle w:val="Standard"/>
        <w:jc w:val="both"/>
      </w:pPr>
      <w:r w:rsidRPr="00635A6A">
        <w:t>Hajdú-Bihar Vármegye Önkormányzat</w:t>
      </w:r>
      <w:r w:rsidR="007720F4" w:rsidRPr="00635A6A">
        <w:t>án</w:t>
      </w:r>
      <w:r w:rsidRPr="00635A6A">
        <w:t>a</w:t>
      </w:r>
      <w:r w:rsidR="007720F4" w:rsidRPr="00635A6A">
        <w:t>k</w:t>
      </w:r>
      <w:r w:rsidRPr="00635A6A">
        <w:t xml:space="preserve"> </w:t>
      </w:r>
      <w:r w:rsidR="00867350" w:rsidRPr="00635A6A">
        <w:t xml:space="preserve">2025. évi </w:t>
      </w:r>
      <w:r w:rsidRPr="00635A6A">
        <w:t xml:space="preserve">támogatása </w:t>
      </w:r>
      <w:r w:rsidR="00F43787" w:rsidRPr="00635A6A">
        <w:t xml:space="preserve">390,6 millió Ft, amely 79,5 millió Ft-tal magasabb az előző évi </w:t>
      </w:r>
      <w:r w:rsidRPr="00635A6A">
        <w:t>311,1 millió Ft összeg</w:t>
      </w:r>
      <w:r w:rsidR="00F43787" w:rsidRPr="00635A6A">
        <w:t>ű támogatáshoz képest</w:t>
      </w:r>
      <w:r w:rsidRPr="00635A6A">
        <w:t>.</w:t>
      </w:r>
      <w:r w:rsidR="00867350" w:rsidRPr="00635A6A">
        <w:t xml:space="preserve"> A támogatás felhasználási határideje 2025. december 31.</w:t>
      </w:r>
    </w:p>
    <w:p w14:paraId="5FE71498" w14:textId="15B1A247" w:rsidR="003B31ED" w:rsidRPr="00635A6A" w:rsidRDefault="00641AB2">
      <w:pPr>
        <w:pStyle w:val="Standard"/>
        <w:jc w:val="both"/>
      </w:pPr>
      <w:r w:rsidRPr="00635A6A">
        <w:t xml:space="preserve">A költségvetési törvény további támogatást nem tartalmaz a </w:t>
      </w:r>
      <w:r w:rsidR="00E6596D" w:rsidRPr="00635A6A">
        <w:t>vár</w:t>
      </w:r>
      <w:r w:rsidRPr="00635A6A">
        <w:t xml:space="preserve">megyei </w:t>
      </w:r>
      <w:r w:rsidR="004F2A63" w:rsidRPr="00635A6A">
        <w:t>önkormányzatok számára, így 202</w:t>
      </w:r>
      <w:r w:rsidR="00867350" w:rsidRPr="00635A6A">
        <w:t>5</w:t>
      </w:r>
      <w:r w:rsidRPr="00635A6A">
        <w:t>. évben</w:t>
      </w:r>
      <w:r w:rsidR="00AE250F" w:rsidRPr="00635A6A">
        <w:t xml:space="preserve"> sem biztosít pótlólagos bevételi forrást az egyszeri, időszakosan felmerülő kiadások finanszírozására</w:t>
      </w:r>
      <w:r w:rsidRPr="00635A6A">
        <w:t xml:space="preserve"> a korábbi megyei önkormányzati tartalék pályázat, mint kiegészítő központi támogatás</w:t>
      </w:r>
      <w:r w:rsidR="00AE250F" w:rsidRPr="00635A6A">
        <w:t>.</w:t>
      </w:r>
    </w:p>
    <w:p w14:paraId="3F0DE5A8" w14:textId="77777777" w:rsidR="003B31ED" w:rsidRDefault="003B31ED">
      <w:pPr>
        <w:pStyle w:val="Standard"/>
        <w:jc w:val="both"/>
      </w:pPr>
    </w:p>
    <w:p w14:paraId="73D54861" w14:textId="77777777" w:rsidR="00FE6B57" w:rsidRDefault="00FE6B57">
      <w:pPr>
        <w:pStyle w:val="Standard"/>
        <w:jc w:val="both"/>
      </w:pPr>
    </w:p>
    <w:p w14:paraId="21173A78" w14:textId="77777777" w:rsidR="00FE6B57" w:rsidRDefault="00FE6B57">
      <w:pPr>
        <w:pStyle w:val="Standard"/>
        <w:jc w:val="both"/>
      </w:pPr>
    </w:p>
    <w:p w14:paraId="2D88A6CD" w14:textId="77777777" w:rsidR="00FE6B57" w:rsidRDefault="00FE6B57">
      <w:pPr>
        <w:pStyle w:val="Standard"/>
        <w:jc w:val="both"/>
      </w:pPr>
    </w:p>
    <w:p w14:paraId="0F93626A" w14:textId="77777777" w:rsidR="00FE6B57" w:rsidRPr="00635A6A" w:rsidRDefault="00FE6B57">
      <w:pPr>
        <w:pStyle w:val="Standard"/>
        <w:jc w:val="both"/>
      </w:pPr>
    </w:p>
    <w:p w14:paraId="13304117" w14:textId="77777777" w:rsidR="003B31ED" w:rsidRPr="00635A6A" w:rsidRDefault="00641AB2">
      <w:pPr>
        <w:pStyle w:val="Standard"/>
        <w:jc w:val="center"/>
      </w:pPr>
      <w:r w:rsidRPr="00635A6A">
        <w:rPr>
          <w:b/>
        </w:rPr>
        <w:lastRenderedPageBreak/>
        <w:t>1. Az önkormányzat költségvetése</w:t>
      </w:r>
    </w:p>
    <w:p w14:paraId="3D3DC7C7" w14:textId="77777777" w:rsidR="003B31ED" w:rsidRPr="00635A6A" w:rsidRDefault="003B31ED">
      <w:pPr>
        <w:pStyle w:val="Standard"/>
        <w:jc w:val="center"/>
        <w:rPr>
          <w:b/>
        </w:rPr>
      </w:pPr>
    </w:p>
    <w:p w14:paraId="0625EE85" w14:textId="77777777" w:rsidR="003B31ED" w:rsidRPr="00635A6A" w:rsidRDefault="00641AB2">
      <w:pPr>
        <w:pStyle w:val="Standard"/>
        <w:jc w:val="center"/>
      </w:pPr>
      <w:r w:rsidRPr="00635A6A">
        <w:rPr>
          <w:b/>
        </w:rPr>
        <w:t>Bevételek</w:t>
      </w:r>
    </w:p>
    <w:p w14:paraId="783C13E5" w14:textId="77777777" w:rsidR="003B31ED" w:rsidRPr="00635A6A" w:rsidRDefault="003B31ED">
      <w:pPr>
        <w:pStyle w:val="Standard"/>
        <w:jc w:val="center"/>
        <w:rPr>
          <w:b/>
        </w:rPr>
      </w:pPr>
    </w:p>
    <w:p w14:paraId="33D41F25" w14:textId="6AD5A685" w:rsidR="003B31ED" w:rsidRPr="00635A6A" w:rsidRDefault="00641AB2">
      <w:pPr>
        <w:pStyle w:val="Standard"/>
        <w:jc w:val="both"/>
      </w:pPr>
      <w:r w:rsidRPr="00635A6A">
        <w:t xml:space="preserve">A </w:t>
      </w:r>
      <w:r w:rsidR="00D56D91" w:rsidRPr="00635A6A">
        <w:t>vár</w:t>
      </w:r>
      <w:r w:rsidRPr="00635A6A">
        <w:t>megye önkormányzat</w:t>
      </w:r>
      <w:r w:rsidR="00905FA5" w:rsidRPr="00635A6A">
        <w:t>a</w:t>
      </w:r>
      <w:r w:rsidRPr="00635A6A">
        <w:t xml:space="preserve"> 202</w:t>
      </w:r>
      <w:r w:rsidR="00AE250F" w:rsidRPr="00635A6A">
        <w:t>5</w:t>
      </w:r>
      <w:r w:rsidRPr="00635A6A">
        <w:t xml:space="preserve">. évi összes bevétele </w:t>
      </w:r>
      <w:r w:rsidR="00AE250F" w:rsidRPr="00635A6A">
        <w:rPr>
          <w:b/>
        </w:rPr>
        <w:t>2.950.747.313</w:t>
      </w:r>
      <w:r w:rsidRPr="00635A6A">
        <w:rPr>
          <w:b/>
        </w:rPr>
        <w:t xml:space="preserve"> Ft</w:t>
      </w:r>
      <w:r w:rsidRPr="00635A6A">
        <w:t xml:space="preserve">, melyből a költségvetési bevételek összege </w:t>
      </w:r>
      <w:r w:rsidR="00AE250F" w:rsidRPr="00635A6A">
        <w:rPr>
          <w:b/>
        </w:rPr>
        <w:t>1.165.144.529</w:t>
      </w:r>
      <w:r w:rsidRPr="00635A6A">
        <w:rPr>
          <w:b/>
        </w:rPr>
        <w:t xml:space="preserve"> Ft</w:t>
      </w:r>
      <w:r w:rsidRPr="00635A6A">
        <w:t xml:space="preserve">, míg a finanszírozási bevételek összege </w:t>
      </w:r>
      <w:r w:rsidR="00AE250F" w:rsidRPr="00635A6A">
        <w:rPr>
          <w:b/>
        </w:rPr>
        <w:t>1.785.602.784</w:t>
      </w:r>
      <w:r w:rsidRPr="00635A6A">
        <w:rPr>
          <w:b/>
        </w:rPr>
        <w:t xml:space="preserve"> Ft</w:t>
      </w:r>
      <w:r w:rsidRPr="00635A6A">
        <w:t>.</w:t>
      </w:r>
    </w:p>
    <w:p w14:paraId="6BBB9818" w14:textId="159DF098" w:rsidR="003B31ED" w:rsidRPr="00635A6A" w:rsidRDefault="00641AB2">
      <w:pPr>
        <w:pStyle w:val="Standard"/>
        <w:jc w:val="both"/>
      </w:pPr>
      <w:r w:rsidRPr="00635A6A">
        <w:t xml:space="preserve">A költségvetési bevételek </w:t>
      </w:r>
      <w:r w:rsidR="006E17EA" w:rsidRPr="00635A6A">
        <w:t xml:space="preserve">összegéből </w:t>
      </w:r>
      <w:r w:rsidR="00AE250F" w:rsidRPr="00635A6A">
        <w:rPr>
          <w:b/>
          <w:bCs/>
        </w:rPr>
        <w:t>852.287.612</w:t>
      </w:r>
      <w:r w:rsidR="006E17EA" w:rsidRPr="00635A6A">
        <w:rPr>
          <w:b/>
          <w:bCs/>
        </w:rPr>
        <w:t xml:space="preserve"> Ft</w:t>
      </w:r>
      <w:r w:rsidRPr="00635A6A">
        <w:t xml:space="preserve"> működési</w:t>
      </w:r>
      <w:r w:rsidR="006E17EA" w:rsidRPr="00635A6A">
        <w:t xml:space="preserve">, </w:t>
      </w:r>
      <w:r w:rsidR="00AE250F" w:rsidRPr="00635A6A">
        <w:rPr>
          <w:b/>
          <w:bCs/>
        </w:rPr>
        <w:t>312.856.917</w:t>
      </w:r>
      <w:r w:rsidR="006E17EA" w:rsidRPr="00635A6A">
        <w:rPr>
          <w:b/>
          <w:bCs/>
        </w:rPr>
        <w:t xml:space="preserve"> Ft</w:t>
      </w:r>
      <w:r w:rsidR="006E17EA" w:rsidRPr="00635A6A">
        <w:t xml:space="preserve"> felhalmozási</w:t>
      </w:r>
      <w:r w:rsidRPr="00635A6A">
        <w:t xml:space="preserve"> bevétel.</w:t>
      </w:r>
    </w:p>
    <w:p w14:paraId="16C6BFC4" w14:textId="77777777" w:rsidR="003B31ED" w:rsidRPr="00635A6A" w:rsidRDefault="00641AB2">
      <w:pPr>
        <w:pStyle w:val="Standard"/>
        <w:jc w:val="both"/>
      </w:pPr>
      <w:r w:rsidRPr="00635A6A">
        <w:t>A működési költségvetési bevételek összetevői az alábbiak:</w:t>
      </w:r>
    </w:p>
    <w:p w14:paraId="03B93846" w14:textId="6D0AE80E" w:rsidR="00A007F9" w:rsidRPr="00635A6A" w:rsidRDefault="00641AB2" w:rsidP="00C54D4F">
      <w:pPr>
        <w:pStyle w:val="Standard"/>
        <w:jc w:val="both"/>
        <w:rPr>
          <w:color w:val="FF0000"/>
        </w:rPr>
      </w:pPr>
      <w:r w:rsidRPr="00635A6A">
        <w:t xml:space="preserve">A </w:t>
      </w:r>
      <w:r w:rsidRPr="00635A6A">
        <w:rPr>
          <w:b/>
        </w:rPr>
        <w:t>működési célú támogatások államháztartáson belülről</w:t>
      </w:r>
      <w:r w:rsidRPr="00635A6A">
        <w:t xml:space="preserve"> </w:t>
      </w:r>
      <w:r w:rsidRPr="00635A6A">
        <w:rPr>
          <w:b/>
          <w:bCs/>
        </w:rPr>
        <w:t>(B1 rovat)</w:t>
      </w:r>
      <w:r w:rsidRPr="00635A6A">
        <w:t xml:space="preserve"> bevételi jogcím összege </w:t>
      </w:r>
      <w:r w:rsidR="00AE250F" w:rsidRPr="00635A6A">
        <w:rPr>
          <w:b/>
        </w:rPr>
        <w:t>517.118.252</w:t>
      </w:r>
      <w:r w:rsidRPr="00635A6A">
        <w:t xml:space="preserve"> </w:t>
      </w:r>
      <w:r w:rsidRPr="00635A6A">
        <w:rPr>
          <w:b/>
        </w:rPr>
        <w:t>Ft</w:t>
      </w:r>
      <w:r w:rsidRPr="00635A6A">
        <w:t xml:space="preserve">. Az összeg tartalmazza a központi költségvetésből származó </w:t>
      </w:r>
      <w:r w:rsidRPr="00635A6A">
        <w:rPr>
          <w:b/>
        </w:rPr>
        <w:t>3</w:t>
      </w:r>
      <w:r w:rsidR="00AE250F" w:rsidRPr="00635A6A">
        <w:rPr>
          <w:b/>
        </w:rPr>
        <w:t>90</w:t>
      </w:r>
      <w:r w:rsidRPr="00635A6A">
        <w:rPr>
          <w:b/>
        </w:rPr>
        <w:t>.</w:t>
      </w:r>
      <w:r w:rsidR="00AE250F" w:rsidRPr="00635A6A">
        <w:rPr>
          <w:b/>
        </w:rPr>
        <w:t>6</w:t>
      </w:r>
      <w:r w:rsidRPr="00635A6A">
        <w:rPr>
          <w:b/>
        </w:rPr>
        <w:t>00.000 Ft</w:t>
      </w:r>
      <w:r w:rsidRPr="00635A6A">
        <w:t xml:space="preserve"> működési támogatást, valamint az uniós pályázatok (közvetlen brüsszeli támogat</w:t>
      </w:r>
      <w:r w:rsidR="00B0268B" w:rsidRPr="00635A6A">
        <w:t xml:space="preserve">ások nélküli, </w:t>
      </w:r>
      <w:r w:rsidR="00C54D4F" w:rsidRPr="00635A6A">
        <w:t xml:space="preserve">a rendelet </w:t>
      </w:r>
      <w:r w:rsidRPr="00635A6A">
        <w:t>5. melléklete</w:t>
      </w:r>
      <w:r w:rsidR="00C54D4F" w:rsidRPr="00635A6A">
        <w:t xml:space="preserve"> B1 rovat</w:t>
      </w:r>
      <w:r w:rsidRPr="00635A6A">
        <w:t xml:space="preserve">) központi költségvetésen keresztül folyósított támogatások összegét összesen </w:t>
      </w:r>
      <w:r w:rsidR="00AE250F" w:rsidRPr="00635A6A">
        <w:rPr>
          <w:b/>
        </w:rPr>
        <w:t>126.518.252</w:t>
      </w:r>
      <w:r w:rsidR="00842713" w:rsidRPr="00635A6A">
        <w:rPr>
          <w:b/>
        </w:rPr>
        <w:t xml:space="preserve"> </w:t>
      </w:r>
      <w:r w:rsidRPr="00635A6A">
        <w:rPr>
          <w:b/>
        </w:rPr>
        <w:t>Ft</w:t>
      </w:r>
      <w:r w:rsidR="00A007F9" w:rsidRPr="00635A6A">
        <w:t xml:space="preserve"> összegben</w:t>
      </w:r>
      <w:r w:rsidR="00C54D4F" w:rsidRPr="00635A6A">
        <w:t>.</w:t>
      </w:r>
    </w:p>
    <w:p w14:paraId="4714C58F" w14:textId="6F1BE3B6" w:rsidR="003B31ED" w:rsidRPr="00635A6A" w:rsidRDefault="00641AB2">
      <w:pPr>
        <w:pStyle w:val="Standard"/>
        <w:jc w:val="both"/>
      </w:pPr>
      <w:r w:rsidRPr="00635A6A">
        <w:t xml:space="preserve">A </w:t>
      </w:r>
      <w:r w:rsidRPr="00635A6A">
        <w:rPr>
          <w:b/>
        </w:rPr>
        <w:t>működési célú átvett pénzeszközök (B6 rovat)</w:t>
      </w:r>
      <w:r w:rsidRPr="00635A6A">
        <w:t xml:space="preserve"> kiemelt előirányzat összege </w:t>
      </w:r>
      <w:r w:rsidR="00AE250F" w:rsidRPr="00635A6A">
        <w:rPr>
          <w:b/>
        </w:rPr>
        <w:t>335.169.360</w:t>
      </w:r>
      <w:r w:rsidRPr="00635A6A">
        <w:rPr>
          <w:b/>
        </w:rPr>
        <w:t xml:space="preserve"> Ft</w:t>
      </w:r>
      <w:r w:rsidRPr="00635A6A">
        <w:t>. Itt került megtervezésre a nemzetközi pályázatok közvetlen támogatása, amit nem a hazai központi költségvetésen keresztül kapunk meg, hanem közvetlenül az uniótól</w:t>
      </w:r>
      <w:r w:rsidR="00B0268B" w:rsidRPr="00635A6A">
        <w:t xml:space="preserve"> (a rendelet 5. melléklete B6 rovat)</w:t>
      </w:r>
      <w:r w:rsidRPr="00635A6A">
        <w:t>.</w:t>
      </w:r>
    </w:p>
    <w:p w14:paraId="23F9A032" w14:textId="16046CA0" w:rsidR="00AE250F" w:rsidRPr="00635A6A" w:rsidRDefault="00E01898">
      <w:pPr>
        <w:pStyle w:val="Standard"/>
        <w:jc w:val="both"/>
      </w:pPr>
      <w:r w:rsidRPr="00635A6A">
        <w:t xml:space="preserve">A felhalmozási bevételeken belül </w:t>
      </w:r>
      <w:r w:rsidR="00AE250F" w:rsidRPr="00635A6A">
        <w:rPr>
          <w:b/>
          <w:bCs/>
        </w:rPr>
        <w:t>54.451.092 Ft a felhalmozási célú támogatások államháztartáson belülről (B2 rovat)</w:t>
      </w:r>
      <w:r w:rsidR="00AE250F" w:rsidRPr="00635A6A">
        <w:t xml:space="preserve"> bevételi előirányzat, </w:t>
      </w:r>
      <w:r w:rsidR="0000442B" w:rsidRPr="00635A6A">
        <w:t>melynek összetevőit a rendelet 5. melléklete B2 rovata tartalmazza.</w:t>
      </w:r>
    </w:p>
    <w:p w14:paraId="69FED341" w14:textId="53769DCE" w:rsidR="00E01898" w:rsidRPr="00635A6A" w:rsidRDefault="0000442B">
      <w:pPr>
        <w:pStyle w:val="Standard"/>
        <w:jc w:val="both"/>
      </w:pPr>
      <w:r w:rsidRPr="00635A6A">
        <w:t>A</w:t>
      </w:r>
      <w:r w:rsidR="00E01898" w:rsidRPr="00635A6A">
        <w:t xml:space="preserve"> </w:t>
      </w:r>
      <w:r w:rsidR="00E01898" w:rsidRPr="00635A6A">
        <w:rPr>
          <w:b/>
          <w:bCs/>
        </w:rPr>
        <w:t>felhalmozási célú átvett pénzeszközök</w:t>
      </w:r>
      <w:r w:rsidR="00E01898" w:rsidRPr="00635A6A">
        <w:t xml:space="preserve"> </w:t>
      </w:r>
      <w:r w:rsidR="00E01898" w:rsidRPr="00635A6A">
        <w:rPr>
          <w:b/>
          <w:bCs/>
        </w:rPr>
        <w:t>(B7 rovat)</w:t>
      </w:r>
      <w:r w:rsidR="00E01898" w:rsidRPr="00635A6A">
        <w:t xml:space="preserve"> kiemelt bevételi előirányzat</w:t>
      </w:r>
      <w:r w:rsidRPr="00635A6A">
        <w:t xml:space="preserve"> összege </w:t>
      </w:r>
      <w:r w:rsidRPr="003F654F">
        <w:rPr>
          <w:b/>
          <w:bCs/>
        </w:rPr>
        <w:t>258.405.825 Ft</w:t>
      </w:r>
      <w:r w:rsidR="00E01898" w:rsidRPr="00635A6A">
        <w:t xml:space="preserve">, mely összeg </w:t>
      </w:r>
      <w:r w:rsidRPr="00635A6A">
        <w:t>a FLAVOR</w:t>
      </w:r>
      <w:r w:rsidR="00E01898" w:rsidRPr="00635A6A">
        <w:t xml:space="preserve">, </w:t>
      </w:r>
      <w:r w:rsidRPr="00635A6A">
        <w:t xml:space="preserve">a RENEW (Energetika), </w:t>
      </w:r>
      <w:r w:rsidR="00E01898" w:rsidRPr="00635A6A">
        <w:t xml:space="preserve">valamint a </w:t>
      </w:r>
      <w:r w:rsidRPr="00635A6A">
        <w:t>CULTURAL LIVING LAB (Kultúra) pályázatok</w:t>
      </w:r>
      <w:r w:rsidR="00E01898" w:rsidRPr="00635A6A">
        <w:t xml:space="preserve"> </w:t>
      </w:r>
      <w:r w:rsidRPr="00635A6A">
        <w:t xml:space="preserve">felhalmozási kiadásainak </w:t>
      </w:r>
      <w:r w:rsidR="00E01898" w:rsidRPr="00635A6A">
        <w:t>támogatástartalm</w:t>
      </w:r>
      <w:r w:rsidRPr="00635A6A">
        <w:t>át tartalmazza a rendelet 5. melléklete B7 rovata alapján</w:t>
      </w:r>
      <w:r w:rsidR="00E01898" w:rsidRPr="00635A6A">
        <w:t>.</w:t>
      </w:r>
    </w:p>
    <w:p w14:paraId="02EBCC47" w14:textId="5CEA8128" w:rsidR="003B31ED" w:rsidRPr="00635A6A" w:rsidRDefault="00641AB2">
      <w:pPr>
        <w:pStyle w:val="Standard"/>
        <w:jc w:val="both"/>
      </w:pPr>
      <w:r w:rsidRPr="00635A6A">
        <w:t xml:space="preserve">A </w:t>
      </w:r>
      <w:r w:rsidRPr="00635A6A">
        <w:rPr>
          <w:b/>
          <w:bCs/>
        </w:rPr>
        <w:t>finanszírozási bevételeken (B8 rovat)</w:t>
      </w:r>
      <w:r w:rsidRPr="00635A6A">
        <w:t xml:space="preserve"> belül a </w:t>
      </w:r>
      <w:r w:rsidRPr="00635A6A">
        <w:rPr>
          <w:b/>
        </w:rPr>
        <w:t>maradvány igénybevétel</w:t>
      </w:r>
      <w:r w:rsidRPr="00635A6A">
        <w:t xml:space="preserve"> összege</w:t>
      </w:r>
      <w:r w:rsidRPr="00635A6A">
        <w:rPr>
          <w:b/>
        </w:rPr>
        <w:t xml:space="preserve"> </w:t>
      </w:r>
      <w:r w:rsidR="0000442B" w:rsidRPr="00635A6A">
        <w:rPr>
          <w:b/>
        </w:rPr>
        <w:t>1.785.602.784</w:t>
      </w:r>
      <w:r w:rsidRPr="00635A6A">
        <w:rPr>
          <w:b/>
        </w:rPr>
        <w:t xml:space="preserve"> Ft</w:t>
      </w:r>
      <w:r w:rsidRPr="00635A6A">
        <w:t>. Az összeg tartalmazza a 202</w:t>
      </w:r>
      <w:r w:rsidR="0000442B" w:rsidRPr="00635A6A">
        <w:t>4</w:t>
      </w:r>
      <w:r w:rsidRPr="00635A6A">
        <w:t>. év végén megkapott megelőlegezési támogatás (202</w:t>
      </w:r>
      <w:r w:rsidR="0000442B" w:rsidRPr="00635A6A">
        <w:t>5</w:t>
      </w:r>
      <w:r w:rsidR="00751E4A" w:rsidRPr="00635A6A">
        <w:t xml:space="preserve">. </w:t>
      </w:r>
      <w:r w:rsidRPr="00635A6A">
        <w:t>0. havi állami támogatás) összegét</w:t>
      </w:r>
      <w:r w:rsidR="0000442B" w:rsidRPr="00635A6A">
        <w:t xml:space="preserve"> (15.624.000 Ft)</w:t>
      </w:r>
      <w:r w:rsidRPr="00635A6A">
        <w:t xml:space="preserve">, </w:t>
      </w:r>
      <w:r w:rsidR="0000442B" w:rsidRPr="00635A6A">
        <w:t>a</w:t>
      </w:r>
      <w:r w:rsidR="00C23763">
        <w:t>z előző</w:t>
      </w:r>
      <w:r w:rsidR="0000442B" w:rsidRPr="00635A6A">
        <w:t xml:space="preserve"> évben megvásárolt Skoda Superb személygépjármű ellenértékét (17.840.805 Ft), a közgyűlési tagok részére 2024. évben beszerzett informatikai eszközök vételárát (5.554.091 Ft)</w:t>
      </w:r>
      <w:r w:rsidR="00B0268B" w:rsidRPr="00635A6A">
        <w:t>, a pályázatok 202</w:t>
      </w:r>
      <w:r w:rsidR="0000442B" w:rsidRPr="00635A6A">
        <w:t>5</w:t>
      </w:r>
      <w:r w:rsidR="00E01898" w:rsidRPr="00635A6A">
        <w:t>. évi önerő szükséglet</w:t>
      </w:r>
      <w:r w:rsidR="00265CF7" w:rsidRPr="00635A6A">
        <w:t xml:space="preserve">e fedezetének egy részét (25.972.193 Ft) </w:t>
      </w:r>
      <w:r w:rsidR="0000442B" w:rsidRPr="00635A6A">
        <w:rPr>
          <w:b/>
          <w:bCs/>
        </w:rPr>
        <w:t>64.991.089</w:t>
      </w:r>
      <w:r w:rsidR="00F33526" w:rsidRPr="00635A6A">
        <w:rPr>
          <w:b/>
          <w:bCs/>
        </w:rPr>
        <w:t xml:space="preserve"> Ft</w:t>
      </w:r>
      <w:r w:rsidR="00F33526" w:rsidRPr="00635A6A">
        <w:t xml:space="preserve"> összegben</w:t>
      </w:r>
      <w:r w:rsidRPr="00635A6A">
        <w:t xml:space="preserve">, </w:t>
      </w:r>
      <w:r w:rsidR="00265CF7" w:rsidRPr="00635A6A">
        <w:t>továbbá</w:t>
      </w:r>
      <w:r w:rsidRPr="00635A6A">
        <w:t xml:space="preserve"> a hazai és nemzetközi pályázatok előző évben megkapott támogatási összegeinek 202</w:t>
      </w:r>
      <w:r w:rsidR="00265CF7" w:rsidRPr="00635A6A">
        <w:t>5</w:t>
      </w:r>
      <w:r w:rsidRPr="00635A6A">
        <w:t xml:space="preserve">. évben jelentkező kiadásainak fedezetét </w:t>
      </w:r>
      <w:r w:rsidR="00265CF7" w:rsidRPr="00635A6A">
        <w:rPr>
          <w:b/>
          <w:bCs/>
        </w:rPr>
        <w:t>1.720.611.695</w:t>
      </w:r>
      <w:r w:rsidRPr="00635A6A">
        <w:rPr>
          <w:b/>
          <w:bCs/>
        </w:rPr>
        <w:t xml:space="preserve"> Ft</w:t>
      </w:r>
      <w:r w:rsidRPr="00635A6A">
        <w:t xml:space="preserve"> összegben, amelynek pályázatonkénti megoszlása az alábbi:</w:t>
      </w:r>
    </w:p>
    <w:p w14:paraId="25DC0CB0" w14:textId="591BAFC8" w:rsidR="003B31ED" w:rsidRPr="00635A6A" w:rsidRDefault="00B505A0">
      <w:pPr>
        <w:pStyle w:val="Standard"/>
        <w:numPr>
          <w:ilvl w:val="0"/>
          <w:numId w:val="32"/>
        </w:numPr>
        <w:jc w:val="both"/>
      </w:pPr>
      <w:r w:rsidRPr="00635A6A">
        <w:t xml:space="preserve">EXPRESS pályázat </w:t>
      </w:r>
      <w:r w:rsidR="00641AB2" w:rsidRPr="00635A6A">
        <w:tab/>
      </w:r>
      <w:r w:rsidR="00641AB2" w:rsidRPr="00635A6A">
        <w:tab/>
      </w:r>
      <w:r w:rsidR="00641AB2" w:rsidRPr="00635A6A">
        <w:tab/>
      </w:r>
      <w:r w:rsidR="00641AB2" w:rsidRPr="00635A6A">
        <w:tab/>
      </w:r>
      <w:r w:rsidR="00641AB2" w:rsidRPr="00635A6A">
        <w:tab/>
      </w:r>
      <w:r w:rsidR="00641AB2" w:rsidRPr="00635A6A">
        <w:tab/>
        <w:t xml:space="preserve">          </w:t>
      </w:r>
      <w:r w:rsidR="00265CF7" w:rsidRPr="00635A6A">
        <w:t>3.194.952</w:t>
      </w:r>
      <w:r w:rsidR="00641AB2" w:rsidRPr="00635A6A">
        <w:t xml:space="preserve"> Ft</w:t>
      </w:r>
    </w:p>
    <w:p w14:paraId="05DF8B4B" w14:textId="67715B9A" w:rsidR="003B31ED" w:rsidRPr="00635A6A" w:rsidRDefault="00B505A0">
      <w:pPr>
        <w:pStyle w:val="Standard"/>
        <w:numPr>
          <w:ilvl w:val="0"/>
          <w:numId w:val="32"/>
        </w:numPr>
        <w:jc w:val="both"/>
      </w:pPr>
      <w:r w:rsidRPr="00635A6A">
        <w:t>GOCORE</w:t>
      </w:r>
      <w:r w:rsidR="00641AB2" w:rsidRPr="00635A6A">
        <w:t xml:space="preserve"> pályázat </w:t>
      </w:r>
      <w:r w:rsidR="00641AB2" w:rsidRPr="00635A6A">
        <w:tab/>
      </w:r>
      <w:r w:rsidR="00641AB2" w:rsidRPr="00635A6A">
        <w:tab/>
      </w:r>
      <w:r w:rsidR="00641AB2" w:rsidRPr="00635A6A">
        <w:tab/>
      </w:r>
      <w:r w:rsidR="00641AB2" w:rsidRPr="00635A6A">
        <w:tab/>
      </w:r>
      <w:r w:rsidR="00641AB2" w:rsidRPr="00635A6A">
        <w:tab/>
      </w:r>
      <w:r w:rsidR="00641AB2" w:rsidRPr="00635A6A">
        <w:tab/>
        <w:t xml:space="preserve">          </w:t>
      </w:r>
      <w:r w:rsidR="00265CF7" w:rsidRPr="00635A6A">
        <w:t>3.745.038</w:t>
      </w:r>
      <w:r w:rsidR="00641AB2" w:rsidRPr="00635A6A">
        <w:t xml:space="preserve"> Ft</w:t>
      </w:r>
    </w:p>
    <w:p w14:paraId="11CB109F" w14:textId="14F4BBC1" w:rsidR="00265CF7" w:rsidRPr="00635A6A" w:rsidRDefault="00265CF7" w:rsidP="00265CF7">
      <w:pPr>
        <w:pStyle w:val="Standard"/>
        <w:numPr>
          <w:ilvl w:val="0"/>
          <w:numId w:val="32"/>
        </w:numPr>
        <w:jc w:val="both"/>
      </w:pPr>
      <w:bookmarkStart w:id="0" w:name="_Hlk189996469"/>
      <w:r w:rsidRPr="00635A6A">
        <w:t xml:space="preserve">SYSTOUR pályázat </w:t>
      </w:r>
      <w:r w:rsidRPr="00635A6A">
        <w:tab/>
      </w:r>
      <w:r w:rsidRPr="00635A6A">
        <w:tab/>
      </w:r>
      <w:r w:rsidRPr="00635A6A">
        <w:tab/>
      </w:r>
      <w:r w:rsidRPr="00635A6A">
        <w:tab/>
      </w:r>
      <w:r w:rsidRPr="00635A6A">
        <w:tab/>
      </w:r>
      <w:r w:rsidRPr="00635A6A">
        <w:tab/>
        <w:t xml:space="preserve">          4.228.478 Ft</w:t>
      </w:r>
    </w:p>
    <w:p w14:paraId="6BEF6292" w14:textId="09149EF3" w:rsidR="003B31ED" w:rsidRPr="00635A6A" w:rsidRDefault="00B505A0">
      <w:pPr>
        <w:pStyle w:val="Standard"/>
        <w:numPr>
          <w:ilvl w:val="0"/>
          <w:numId w:val="32"/>
        </w:numPr>
        <w:jc w:val="both"/>
      </w:pPr>
      <w:r w:rsidRPr="00635A6A">
        <w:t>WEEEWaste</w:t>
      </w:r>
      <w:r w:rsidR="00A51A2D" w:rsidRPr="00635A6A">
        <w:t xml:space="preserve"> pá</w:t>
      </w:r>
      <w:r w:rsidRPr="00635A6A">
        <w:t xml:space="preserve">lyázat </w:t>
      </w:r>
      <w:r w:rsidRPr="00635A6A">
        <w:tab/>
      </w:r>
      <w:r w:rsidRPr="00635A6A">
        <w:tab/>
      </w:r>
      <w:r w:rsidRPr="00635A6A">
        <w:tab/>
      </w:r>
      <w:r w:rsidRPr="00635A6A">
        <w:tab/>
      </w:r>
      <w:r w:rsidRPr="00635A6A">
        <w:tab/>
      </w:r>
      <w:r w:rsidRPr="00635A6A">
        <w:tab/>
        <w:t xml:space="preserve">          </w:t>
      </w:r>
      <w:r w:rsidR="00265CF7" w:rsidRPr="00635A6A">
        <w:t>3.535.487</w:t>
      </w:r>
      <w:r w:rsidR="00A51A2D" w:rsidRPr="00635A6A">
        <w:t xml:space="preserve"> Ft</w:t>
      </w:r>
    </w:p>
    <w:bookmarkEnd w:id="0"/>
    <w:p w14:paraId="3910426E" w14:textId="0D64C443" w:rsidR="003B31ED" w:rsidRPr="00635A6A" w:rsidRDefault="00641AB2">
      <w:pPr>
        <w:pStyle w:val="Standard"/>
        <w:numPr>
          <w:ilvl w:val="0"/>
          <w:numId w:val="32"/>
        </w:numPr>
        <w:jc w:val="both"/>
      </w:pPr>
      <w:r w:rsidRPr="00635A6A">
        <w:t>M</w:t>
      </w:r>
      <w:r w:rsidR="00265CF7" w:rsidRPr="00635A6A">
        <w:t>ore than a village</w:t>
      </w:r>
      <w:r w:rsidRPr="00635A6A">
        <w:t xml:space="preserve"> pályázat</w:t>
      </w:r>
      <w:r w:rsidRPr="00635A6A">
        <w:tab/>
      </w:r>
      <w:r w:rsidRPr="00635A6A">
        <w:tab/>
      </w:r>
      <w:r w:rsidRPr="00635A6A">
        <w:tab/>
      </w:r>
      <w:r w:rsidRPr="00635A6A">
        <w:tab/>
      </w:r>
      <w:r w:rsidRPr="00635A6A">
        <w:tab/>
        <w:t xml:space="preserve">      </w:t>
      </w:r>
      <w:r w:rsidR="00B505A0" w:rsidRPr="00635A6A">
        <w:t xml:space="preserve">    </w:t>
      </w:r>
      <w:r w:rsidR="00265CF7" w:rsidRPr="00635A6A">
        <w:t>4.730.855</w:t>
      </w:r>
      <w:r w:rsidRPr="00635A6A">
        <w:t xml:space="preserve"> Ft</w:t>
      </w:r>
    </w:p>
    <w:p w14:paraId="3FD1466F" w14:textId="79095589" w:rsidR="003B31ED" w:rsidRPr="00635A6A" w:rsidRDefault="00265CF7">
      <w:pPr>
        <w:pStyle w:val="Standard"/>
        <w:numPr>
          <w:ilvl w:val="0"/>
          <w:numId w:val="32"/>
        </w:numPr>
        <w:jc w:val="both"/>
      </w:pPr>
      <w:r w:rsidRPr="00635A6A">
        <w:t>SReST pályázat</w:t>
      </w:r>
      <w:r w:rsidR="00641AB2" w:rsidRPr="00635A6A">
        <w:tab/>
      </w:r>
      <w:r w:rsidRPr="00635A6A">
        <w:tab/>
      </w:r>
      <w:r w:rsidR="00641AB2" w:rsidRPr="00635A6A">
        <w:tab/>
      </w:r>
      <w:r w:rsidR="00641AB2" w:rsidRPr="00635A6A">
        <w:tab/>
      </w:r>
      <w:r w:rsidRPr="00635A6A">
        <w:tab/>
      </w:r>
      <w:r w:rsidRPr="00635A6A">
        <w:tab/>
      </w:r>
      <w:r w:rsidRPr="00635A6A">
        <w:tab/>
      </w:r>
      <w:r w:rsidR="00641AB2" w:rsidRPr="00635A6A">
        <w:t xml:space="preserve">      </w:t>
      </w:r>
      <w:r w:rsidR="00B505A0" w:rsidRPr="00635A6A">
        <w:t xml:space="preserve"> </w:t>
      </w:r>
      <w:r w:rsidRPr="00635A6A">
        <w:t xml:space="preserve">  </w:t>
      </w:r>
      <w:r w:rsidR="00B505A0" w:rsidRPr="00635A6A">
        <w:t xml:space="preserve"> </w:t>
      </w:r>
      <w:r w:rsidRPr="00635A6A">
        <w:t>3.954.193</w:t>
      </w:r>
      <w:r w:rsidR="00641AB2" w:rsidRPr="00635A6A">
        <w:t xml:space="preserve"> Ft</w:t>
      </w:r>
    </w:p>
    <w:p w14:paraId="2D547AC6" w14:textId="32F30990" w:rsidR="00A51A2D" w:rsidRPr="00635A6A" w:rsidRDefault="00A51A2D" w:rsidP="00A51A2D">
      <w:pPr>
        <w:pStyle w:val="Standard"/>
        <w:numPr>
          <w:ilvl w:val="0"/>
          <w:numId w:val="32"/>
        </w:numPr>
        <w:jc w:val="both"/>
      </w:pPr>
      <w:r w:rsidRPr="00635A6A">
        <w:t>Foglalkoztatási Paktum Plu</w:t>
      </w:r>
      <w:r w:rsidR="00B505A0" w:rsidRPr="00635A6A">
        <w:t>sz pályázat</w:t>
      </w:r>
      <w:r w:rsidR="00B505A0" w:rsidRPr="00635A6A">
        <w:tab/>
      </w:r>
      <w:r w:rsidR="00B505A0" w:rsidRPr="00635A6A">
        <w:tab/>
      </w:r>
      <w:r w:rsidR="00B505A0" w:rsidRPr="00635A6A">
        <w:tab/>
      </w:r>
      <w:r w:rsidR="00B505A0" w:rsidRPr="00635A6A">
        <w:tab/>
        <w:t xml:space="preserve">      </w:t>
      </w:r>
      <w:r w:rsidR="00265CF7" w:rsidRPr="00635A6A">
        <w:t>656.388.283</w:t>
      </w:r>
      <w:r w:rsidRPr="00635A6A">
        <w:t xml:space="preserve"> Ft</w:t>
      </w:r>
    </w:p>
    <w:p w14:paraId="0C159E47" w14:textId="033875F0" w:rsidR="00265CF7" w:rsidRPr="00635A6A" w:rsidRDefault="00265CF7" w:rsidP="00265CF7">
      <w:pPr>
        <w:pStyle w:val="Standard"/>
        <w:numPr>
          <w:ilvl w:val="0"/>
          <w:numId w:val="32"/>
        </w:numPr>
        <w:jc w:val="both"/>
      </w:pPr>
      <w:r w:rsidRPr="00635A6A">
        <w:t>Helyi humán fejlesztések pályázat</w:t>
      </w:r>
      <w:r w:rsidRPr="00635A6A">
        <w:tab/>
      </w:r>
      <w:r w:rsidRPr="00635A6A">
        <w:tab/>
      </w:r>
      <w:r w:rsidRPr="00635A6A">
        <w:tab/>
      </w:r>
      <w:r w:rsidRPr="00635A6A">
        <w:tab/>
        <w:t xml:space="preserve">   1.031.037.130 Ft</w:t>
      </w:r>
    </w:p>
    <w:p w14:paraId="27AEE980" w14:textId="4B9E6A43" w:rsidR="00265CF7" w:rsidRPr="00635A6A" w:rsidRDefault="00265CF7" w:rsidP="00265CF7">
      <w:pPr>
        <w:pStyle w:val="Standard"/>
        <w:numPr>
          <w:ilvl w:val="0"/>
          <w:numId w:val="32"/>
        </w:numPr>
        <w:jc w:val="both"/>
      </w:pPr>
      <w:r w:rsidRPr="00635A6A">
        <w:t>2021-27 tervezés előkészítése pályázat</w:t>
      </w:r>
      <w:r w:rsidRPr="00635A6A">
        <w:tab/>
      </w:r>
      <w:r w:rsidRPr="00635A6A">
        <w:tab/>
      </w:r>
      <w:r w:rsidRPr="00635A6A">
        <w:tab/>
      </w:r>
      <w:r w:rsidRPr="00635A6A">
        <w:tab/>
        <w:t xml:space="preserve">          1.131.539 Ft</w:t>
      </w:r>
    </w:p>
    <w:p w14:paraId="614FC942" w14:textId="2401A7E0" w:rsidR="003B31ED" w:rsidRPr="00635A6A" w:rsidRDefault="00641AB2">
      <w:pPr>
        <w:pStyle w:val="Standard"/>
        <w:numPr>
          <w:ilvl w:val="0"/>
          <w:numId w:val="32"/>
        </w:numPr>
        <w:jc w:val="both"/>
      </w:pPr>
      <w:r w:rsidRPr="00635A6A">
        <w:t>EFOP-1.5.3. Hajdúböszörmény</w:t>
      </w:r>
      <w:r w:rsidRPr="00635A6A">
        <w:tab/>
      </w:r>
      <w:r w:rsidRPr="00635A6A">
        <w:tab/>
      </w:r>
      <w:r w:rsidRPr="00635A6A">
        <w:tab/>
      </w:r>
      <w:r w:rsidRPr="00635A6A">
        <w:tab/>
      </w:r>
      <w:r w:rsidRPr="00635A6A">
        <w:tab/>
        <w:t xml:space="preserve">          </w:t>
      </w:r>
      <w:r w:rsidR="00B505A0" w:rsidRPr="00635A6A">
        <w:t xml:space="preserve">   191.995</w:t>
      </w:r>
      <w:r w:rsidRPr="00635A6A">
        <w:t xml:space="preserve"> Ft</w:t>
      </w:r>
    </w:p>
    <w:p w14:paraId="30798FF6" w14:textId="25D52FDB" w:rsidR="003B31ED" w:rsidRPr="00635A6A" w:rsidRDefault="00641AB2">
      <w:pPr>
        <w:pStyle w:val="Standard"/>
        <w:numPr>
          <w:ilvl w:val="0"/>
          <w:numId w:val="32"/>
        </w:numPr>
        <w:jc w:val="both"/>
      </w:pPr>
      <w:r w:rsidRPr="00635A6A">
        <w:t>EFOP-1.5.3. Csökmő</w:t>
      </w:r>
      <w:r w:rsidRPr="00635A6A">
        <w:tab/>
      </w:r>
      <w:r w:rsidRPr="00635A6A">
        <w:tab/>
      </w:r>
      <w:r w:rsidRPr="00635A6A">
        <w:tab/>
      </w:r>
      <w:r w:rsidRPr="00635A6A">
        <w:tab/>
      </w:r>
      <w:r w:rsidRPr="00635A6A">
        <w:tab/>
        <w:t xml:space="preserve">          </w:t>
      </w:r>
      <w:r w:rsidRPr="00635A6A">
        <w:tab/>
        <w:t xml:space="preserve">          </w:t>
      </w:r>
      <w:r w:rsidR="00B505A0" w:rsidRPr="00635A6A">
        <w:t xml:space="preserve">   283.673</w:t>
      </w:r>
      <w:r w:rsidRPr="00635A6A">
        <w:t xml:space="preserve"> Ft</w:t>
      </w:r>
    </w:p>
    <w:p w14:paraId="2865866A" w14:textId="58648A16" w:rsidR="003B31ED" w:rsidRPr="00635A6A" w:rsidRDefault="00641AB2">
      <w:pPr>
        <w:pStyle w:val="Standard"/>
        <w:numPr>
          <w:ilvl w:val="0"/>
          <w:numId w:val="32"/>
        </w:numPr>
        <w:jc w:val="both"/>
      </w:pPr>
      <w:r w:rsidRPr="00635A6A">
        <w:t>Agrárminisztérium – „</w:t>
      </w:r>
      <w:r w:rsidR="00265CF7" w:rsidRPr="00635A6A">
        <w:t>Értékes v</w:t>
      </w:r>
      <w:r w:rsidR="00B505A0" w:rsidRPr="00635A6A">
        <w:t>ármegy</w:t>
      </w:r>
      <w:r w:rsidR="00265CF7" w:rsidRPr="00635A6A">
        <w:t>énk</w:t>
      </w:r>
      <w:r w:rsidRPr="00635A6A">
        <w:t>”</w:t>
      </w:r>
      <w:r w:rsidR="00A51A2D" w:rsidRPr="00635A6A">
        <w:t xml:space="preserve"> pályázat</w:t>
      </w:r>
      <w:r w:rsidRPr="00635A6A">
        <w:tab/>
        <w:t xml:space="preserve">        </w:t>
      </w:r>
      <w:r w:rsidRPr="00635A6A">
        <w:tab/>
        <w:t xml:space="preserve">          </w:t>
      </w:r>
      <w:r w:rsidR="00265CF7" w:rsidRPr="00635A6A">
        <w:t>4.868.072</w:t>
      </w:r>
      <w:r w:rsidRPr="00635A6A">
        <w:t xml:space="preserve"> Ft</w:t>
      </w:r>
    </w:p>
    <w:p w14:paraId="58A60198" w14:textId="6B8D913A" w:rsidR="00B505A0" w:rsidRPr="00635A6A" w:rsidRDefault="00B505A0" w:rsidP="00265CF7">
      <w:pPr>
        <w:pStyle w:val="Standard"/>
        <w:numPr>
          <w:ilvl w:val="0"/>
          <w:numId w:val="32"/>
        </w:numPr>
        <w:jc w:val="both"/>
      </w:pPr>
      <w:r w:rsidRPr="00635A6A">
        <w:t>Agrárminisztérium – „</w:t>
      </w:r>
      <w:r w:rsidR="00265CF7" w:rsidRPr="00635A6A">
        <w:t>Táncol a vármegye</w:t>
      </w:r>
      <w:r w:rsidRPr="00635A6A">
        <w:t>” pályázat</w:t>
      </w:r>
      <w:r w:rsidRPr="00635A6A">
        <w:tab/>
        <w:t xml:space="preserve">        </w:t>
      </w:r>
      <w:r w:rsidRPr="00635A6A">
        <w:tab/>
        <w:t xml:space="preserve">          </w:t>
      </w:r>
      <w:r w:rsidR="00265CF7" w:rsidRPr="00635A6A">
        <w:t>3.</w:t>
      </w:r>
      <w:r w:rsidR="00931929" w:rsidRPr="00635A6A">
        <w:t>322</w:t>
      </w:r>
      <w:r w:rsidR="00265CF7" w:rsidRPr="00635A6A">
        <w:t>.000</w:t>
      </w:r>
      <w:r w:rsidRPr="00635A6A">
        <w:t xml:space="preserve"> Ft</w:t>
      </w:r>
    </w:p>
    <w:p w14:paraId="46F31879" w14:textId="77777777" w:rsidR="00B505A0" w:rsidRPr="00635A6A" w:rsidRDefault="00B505A0" w:rsidP="00B505A0">
      <w:pPr>
        <w:pStyle w:val="Standard"/>
        <w:ind w:left="1065"/>
        <w:jc w:val="both"/>
      </w:pPr>
    </w:p>
    <w:p w14:paraId="3C697750" w14:textId="7DF4416E" w:rsidR="003B31ED" w:rsidRPr="00635A6A" w:rsidRDefault="00641AB2">
      <w:pPr>
        <w:pStyle w:val="Standard"/>
        <w:jc w:val="both"/>
      </w:pPr>
      <w:r w:rsidRPr="00635A6A">
        <w:t xml:space="preserve">Fentieket összegezve a költségvetési bevételek összege </w:t>
      </w:r>
      <w:r w:rsidR="00803439" w:rsidRPr="00635A6A">
        <w:rPr>
          <w:b/>
        </w:rPr>
        <w:t>1.165.144.529</w:t>
      </w:r>
      <w:r w:rsidRPr="00635A6A">
        <w:rPr>
          <w:b/>
        </w:rPr>
        <w:t xml:space="preserve"> Ft</w:t>
      </w:r>
      <w:r w:rsidRPr="00635A6A">
        <w:t xml:space="preserve">, a maradvány igénybevétele (finanszírozási bevétel) </w:t>
      </w:r>
      <w:r w:rsidR="00803439" w:rsidRPr="00635A6A">
        <w:rPr>
          <w:b/>
        </w:rPr>
        <w:t>1.785.602.784</w:t>
      </w:r>
      <w:r w:rsidRPr="00635A6A">
        <w:rPr>
          <w:b/>
        </w:rPr>
        <w:t xml:space="preserve"> Ft</w:t>
      </w:r>
      <w:r w:rsidRPr="00635A6A">
        <w:t>, az önkormányzat 202</w:t>
      </w:r>
      <w:r w:rsidR="00803439" w:rsidRPr="00635A6A">
        <w:t>5</w:t>
      </w:r>
      <w:r w:rsidRPr="00635A6A">
        <w:t xml:space="preserve">. évi összes bevétele pedig </w:t>
      </w:r>
      <w:r w:rsidR="00803439" w:rsidRPr="00635A6A">
        <w:rPr>
          <w:b/>
        </w:rPr>
        <w:t>2.950.747.313</w:t>
      </w:r>
      <w:r w:rsidRPr="00635A6A">
        <w:rPr>
          <w:b/>
        </w:rPr>
        <w:t xml:space="preserve"> Ft</w:t>
      </w:r>
      <w:r w:rsidRPr="00635A6A">
        <w:t>, amelyet a rendelet 2. melléklete mutat be részletesen.</w:t>
      </w:r>
    </w:p>
    <w:p w14:paraId="3512FE32" w14:textId="77777777" w:rsidR="003B31ED" w:rsidRPr="00635A6A" w:rsidRDefault="003B31ED">
      <w:pPr>
        <w:pStyle w:val="Standard"/>
        <w:jc w:val="both"/>
      </w:pPr>
    </w:p>
    <w:p w14:paraId="34AE9E9B" w14:textId="77777777" w:rsidR="003B31ED" w:rsidRPr="00635A6A" w:rsidRDefault="00641AB2">
      <w:pPr>
        <w:pStyle w:val="Standard"/>
        <w:jc w:val="center"/>
      </w:pPr>
      <w:r w:rsidRPr="00635A6A">
        <w:rPr>
          <w:b/>
        </w:rPr>
        <w:t>Kiadások</w:t>
      </w:r>
    </w:p>
    <w:p w14:paraId="2A075D01" w14:textId="77777777" w:rsidR="003B31ED" w:rsidRPr="00635A6A" w:rsidRDefault="003B31ED">
      <w:pPr>
        <w:pStyle w:val="Standard"/>
        <w:jc w:val="center"/>
        <w:rPr>
          <w:b/>
        </w:rPr>
      </w:pPr>
    </w:p>
    <w:p w14:paraId="7787A7C8" w14:textId="5106367B" w:rsidR="003B31ED" w:rsidRPr="00635A6A" w:rsidRDefault="00641AB2">
      <w:pPr>
        <w:pStyle w:val="Standard"/>
        <w:jc w:val="both"/>
      </w:pPr>
      <w:r w:rsidRPr="00635A6A">
        <w:t xml:space="preserve">A </w:t>
      </w:r>
      <w:r w:rsidR="002F798C" w:rsidRPr="00635A6A">
        <w:t>vár</w:t>
      </w:r>
      <w:r w:rsidRPr="00635A6A">
        <w:t>megye önkormányzat</w:t>
      </w:r>
      <w:r w:rsidR="00905FA5" w:rsidRPr="00635A6A">
        <w:t>a</w:t>
      </w:r>
      <w:r w:rsidRPr="00635A6A">
        <w:t xml:space="preserve"> </w:t>
      </w:r>
      <w:r w:rsidRPr="00635A6A">
        <w:rPr>
          <w:b/>
        </w:rPr>
        <w:t>202</w:t>
      </w:r>
      <w:r w:rsidR="00803439" w:rsidRPr="00635A6A">
        <w:rPr>
          <w:b/>
        </w:rPr>
        <w:t>5</w:t>
      </w:r>
      <w:r w:rsidRPr="00635A6A">
        <w:rPr>
          <w:b/>
        </w:rPr>
        <w:t>. évi</w:t>
      </w:r>
      <w:r w:rsidRPr="00635A6A">
        <w:t xml:space="preserve"> összes kiadása – a bevétellel megegyezően – </w:t>
      </w:r>
      <w:r w:rsidR="00803439" w:rsidRPr="00635A6A">
        <w:rPr>
          <w:b/>
        </w:rPr>
        <w:t>2.950.747.313</w:t>
      </w:r>
      <w:r w:rsidRPr="00635A6A">
        <w:rPr>
          <w:b/>
        </w:rPr>
        <w:t xml:space="preserve"> Ft</w:t>
      </w:r>
      <w:r w:rsidRPr="00635A6A">
        <w:t xml:space="preserve">, amelyből a költségvetési kiadások összege </w:t>
      </w:r>
      <w:r w:rsidR="00803439" w:rsidRPr="00635A6A">
        <w:rPr>
          <w:b/>
        </w:rPr>
        <w:t>2.416.287.808</w:t>
      </w:r>
      <w:r w:rsidRPr="00635A6A">
        <w:rPr>
          <w:b/>
        </w:rPr>
        <w:t xml:space="preserve"> Ft</w:t>
      </w:r>
      <w:r w:rsidRPr="00635A6A">
        <w:t xml:space="preserve">, a finanszírozási kiadások összege pedig </w:t>
      </w:r>
      <w:r w:rsidR="00803439" w:rsidRPr="00635A6A">
        <w:rPr>
          <w:b/>
        </w:rPr>
        <w:t>534.459.505</w:t>
      </w:r>
      <w:r w:rsidRPr="00635A6A">
        <w:rPr>
          <w:b/>
        </w:rPr>
        <w:t xml:space="preserve"> Ft</w:t>
      </w:r>
      <w:r w:rsidRPr="00635A6A">
        <w:t>.</w:t>
      </w:r>
    </w:p>
    <w:p w14:paraId="2A3C9B3E" w14:textId="4E67FF32" w:rsidR="003B31ED" w:rsidRPr="00635A6A" w:rsidRDefault="00641AB2">
      <w:pPr>
        <w:pStyle w:val="Standard"/>
        <w:jc w:val="both"/>
      </w:pPr>
      <w:r w:rsidRPr="00635A6A">
        <w:t xml:space="preserve">A költségvetési kiadásokon belül </w:t>
      </w:r>
      <w:r w:rsidR="00803439" w:rsidRPr="00635A6A">
        <w:rPr>
          <w:b/>
        </w:rPr>
        <w:t>1.981.494.959</w:t>
      </w:r>
      <w:r w:rsidRPr="00635A6A">
        <w:rPr>
          <w:b/>
        </w:rPr>
        <w:t xml:space="preserve"> Ft</w:t>
      </w:r>
      <w:r w:rsidRPr="00635A6A">
        <w:t xml:space="preserve"> a működési, </w:t>
      </w:r>
      <w:r w:rsidR="00803439" w:rsidRPr="00635A6A">
        <w:rPr>
          <w:b/>
        </w:rPr>
        <w:t>434.792.849</w:t>
      </w:r>
      <w:r w:rsidRPr="00635A6A">
        <w:rPr>
          <w:b/>
        </w:rPr>
        <w:t xml:space="preserve"> Ft</w:t>
      </w:r>
      <w:r w:rsidRPr="00635A6A">
        <w:t xml:space="preserve"> a felhalmozási költségvetési kiadás.</w:t>
      </w:r>
    </w:p>
    <w:p w14:paraId="721C6F77" w14:textId="77777777" w:rsidR="003B31ED" w:rsidRPr="00635A6A" w:rsidRDefault="00641AB2">
      <w:pPr>
        <w:pStyle w:val="Standard"/>
        <w:jc w:val="both"/>
      </w:pPr>
      <w:r w:rsidRPr="00635A6A">
        <w:t>A működési költségvetési kiadások összege a következő kiemelt előirányzatokból tevődik össze:</w:t>
      </w:r>
    </w:p>
    <w:p w14:paraId="47ED0F2F" w14:textId="186D76BC" w:rsidR="003B31ED" w:rsidRPr="00635A6A" w:rsidRDefault="00641AB2">
      <w:pPr>
        <w:pStyle w:val="Standard"/>
        <w:jc w:val="both"/>
      </w:pPr>
      <w:r w:rsidRPr="00635A6A">
        <w:t xml:space="preserve">A </w:t>
      </w:r>
      <w:r w:rsidRPr="00635A6A">
        <w:rPr>
          <w:b/>
        </w:rPr>
        <w:t>személyi juttatások</w:t>
      </w:r>
      <w:r w:rsidRPr="00635A6A">
        <w:t xml:space="preserve"> </w:t>
      </w:r>
      <w:r w:rsidRPr="00635A6A">
        <w:rPr>
          <w:b/>
          <w:bCs/>
        </w:rPr>
        <w:t>(K1 rovat)</w:t>
      </w:r>
      <w:r w:rsidRPr="00635A6A">
        <w:t xml:space="preserve"> kiemelt előirányzata </w:t>
      </w:r>
      <w:r w:rsidR="00803439" w:rsidRPr="00635A6A">
        <w:rPr>
          <w:b/>
        </w:rPr>
        <w:t>530.855.119</w:t>
      </w:r>
      <w:r w:rsidRPr="00635A6A">
        <w:rPr>
          <w:b/>
        </w:rPr>
        <w:t xml:space="preserve"> Ft</w:t>
      </w:r>
      <w:r w:rsidRPr="00635A6A">
        <w:t>. Az előirányzat tartalmazza a választott tisztségviselők juttatásait, közgyűlési tagok tiszteletdíját, megbízási díjakat, valamint a pályázatokhoz kapcsolódó személyi juttatásokat</w:t>
      </w:r>
      <w:r w:rsidR="00334C0C" w:rsidRPr="00635A6A">
        <w:t xml:space="preserve"> (munkabér, megbízási díj</w:t>
      </w:r>
      <w:r w:rsidR="005E42BC" w:rsidRPr="00635A6A">
        <w:t>)</w:t>
      </w:r>
      <w:r w:rsidRPr="00635A6A">
        <w:t xml:space="preserve"> a rendelet 6. és az előterjesztés 8. melléklete szerint, továbbá az emlékéremmel járó pénzjutalom összegét is. Itt kerültek megtervezésre továbbá a reprezentáció, az üzleti vendéglátás általános forgalmi adót nem tartalmazó kiadásai is (pl.: közgyűlési ebéd, projektnyitó, projektzáró rendezvények, munkacsoport ülések stb.).</w:t>
      </w:r>
    </w:p>
    <w:p w14:paraId="6C6C47BA" w14:textId="372432ED" w:rsidR="003B31ED" w:rsidRPr="00635A6A" w:rsidRDefault="00641AB2">
      <w:pPr>
        <w:pStyle w:val="Standard"/>
        <w:jc w:val="both"/>
      </w:pPr>
      <w:r w:rsidRPr="00635A6A">
        <w:t xml:space="preserve">A </w:t>
      </w:r>
      <w:r w:rsidRPr="00635A6A">
        <w:rPr>
          <w:b/>
        </w:rPr>
        <w:t>munkaadókat terhelő járulékok és szociális hozzájárulási adó</w:t>
      </w:r>
      <w:r w:rsidRPr="00635A6A">
        <w:t xml:space="preserve"> </w:t>
      </w:r>
      <w:r w:rsidRPr="00635A6A">
        <w:rPr>
          <w:b/>
          <w:bCs/>
        </w:rPr>
        <w:t>(K2 rovat)</w:t>
      </w:r>
      <w:r w:rsidRPr="00635A6A">
        <w:t xml:space="preserve"> előirányzata </w:t>
      </w:r>
      <w:r w:rsidR="00803439" w:rsidRPr="00635A6A">
        <w:rPr>
          <w:b/>
        </w:rPr>
        <w:t>27.727.174</w:t>
      </w:r>
      <w:r w:rsidRPr="00635A6A">
        <w:t xml:space="preserve"> </w:t>
      </w:r>
      <w:r w:rsidRPr="00635A6A">
        <w:rPr>
          <w:b/>
        </w:rPr>
        <w:t>Ft</w:t>
      </w:r>
      <w:r w:rsidRPr="00635A6A">
        <w:t>. A</w:t>
      </w:r>
      <w:r w:rsidR="00803439" w:rsidRPr="00635A6A">
        <w:t xml:space="preserve"> szociális hozzájárulási</w:t>
      </w:r>
      <w:r w:rsidRPr="00635A6A">
        <w:t xml:space="preserve"> adó mértéke </w:t>
      </w:r>
      <w:r w:rsidR="00803439" w:rsidRPr="00635A6A">
        <w:t xml:space="preserve">2025. évben is </w:t>
      </w:r>
      <w:r w:rsidRPr="00635A6A">
        <w:t xml:space="preserve">13 %, és a személyi juttatások kiadási tételeihez kapcsolódik. Itt kerül elszámolásra </w:t>
      </w:r>
      <w:r w:rsidR="00803439" w:rsidRPr="00635A6A">
        <w:t xml:space="preserve">továbbá </w:t>
      </w:r>
      <w:r w:rsidRPr="00635A6A">
        <w:t>a reprezentáció után a kifizetőt terhelő adófizetési kötelezettség is</w:t>
      </w:r>
      <w:r w:rsidR="00803439" w:rsidRPr="00635A6A">
        <w:t>, mértéke változatlanul 33,04 %</w:t>
      </w:r>
      <w:r w:rsidRPr="00635A6A">
        <w:t>.</w:t>
      </w:r>
    </w:p>
    <w:p w14:paraId="1108999E" w14:textId="011AC7D0" w:rsidR="003B31ED" w:rsidRPr="00635A6A" w:rsidRDefault="00641AB2">
      <w:pPr>
        <w:pStyle w:val="Standard"/>
        <w:jc w:val="both"/>
      </w:pPr>
      <w:r w:rsidRPr="00635A6A">
        <w:rPr>
          <w:b/>
        </w:rPr>
        <w:t>Dologi kiadások (K3 rovat)</w:t>
      </w:r>
      <w:r w:rsidRPr="00635A6A">
        <w:t xml:space="preserve"> előirányzata </w:t>
      </w:r>
      <w:r w:rsidR="00846560" w:rsidRPr="00635A6A">
        <w:rPr>
          <w:b/>
        </w:rPr>
        <w:t>753.891.645</w:t>
      </w:r>
      <w:r w:rsidRPr="00635A6A">
        <w:rPr>
          <w:b/>
        </w:rPr>
        <w:t xml:space="preserve"> Ft</w:t>
      </w:r>
      <w:r w:rsidRPr="00635A6A">
        <w:t xml:space="preserve">. A dologi kiadások között jelennek meg többek között az önkormányzat általános működéséhez kapcsolódó kiadások, mint pl. gépjármű üzemeltetési költségek (üzemanyag, biztosítás, cégautó adó, karbantartás), számlavezetési és tranzakciós díjak, mobiltelefon költségek, bizottsági, közgyűlési parkolási díjak, sajtómegjelenés díja, honlap frissítés díja, kiadványok költsége, közgyűlés működésével kapcsolatos kiadások.   </w:t>
      </w:r>
    </w:p>
    <w:p w14:paraId="11F9FD5F" w14:textId="35C610DA" w:rsidR="003B31ED" w:rsidRPr="00635A6A" w:rsidRDefault="00641AB2">
      <w:pPr>
        <w:pStyle w:val="Standard"/>
        <w:jc w:val="both"/>
      </w:pPr>
      <w:r w:rsidRPr="00635A6A">
        <w:t>A hazai, uniós és nemzetközi</w:t>
      </w:r>
      <w:r w:rsidR="00334C0C" w:rsidRPr="00635A6A">
        <w:t xml:space="preserve"> (közvetlen brüsszeli források)</w:t>
      </w:r>
      <w:r w:rsidRPr="00635A6A">
        <w:t xml:space="preserve"> pályázatokhoz kapcsolódó szakmai feladatok ellátására </w:t>
      </w:r>
      <w:r w:rsidR="00846560" w:rsidRPr="00635A6A">
        <w:t>717.353.333</w:t>
      </w:r>
      <w:r w:rsidRPr="00635A6A">
        <w:t xml:space="preserve"> Ft került megtervezésre (a rendelet 6. és az előterjesztés 8. melléklete) ezen a kiemelt előirányzaton.</w:t>
      </w:r>
    </w:p>
    <w:p w14:paraId="3E79D71D" w14:textId="3875B552" w:rsidR="003B31ED" w:rsidRPr="00635A6A" w:rsidRDefault="00641AB2">
      <w:pPr>
        <w:pStyle w:val="Standard"/>
        <w:tabs>
          <w:tab w:val="left" w:pos="7380"/>
        </w:tabs>
        <w:jc w:val="both"/>
      </w:pPr>
      <w:r w:rsidRPr="00635A6A">
        <w:rPr>
          <w:b/>
        </w:rPr>
        <w:t>Egyéb működési célú kiadások (K5 rovat)</w:t>
      </w:r>
      <w:r w:rsidRPr="00635A6A">
        <w:t xml:space="preserve"> kiemelt előirányzatra </w:t>
      </w:r>
      <w:r w:rsidR="00846560" w:rsidRPr="00635A6A">
        <w:rPr>
          <w:b/>
        </w:rPr>
        <w:t>669.021.021</w:t>
      </w:r>
      <w:r w:rsidRPr="00635A6A">
        <w:rPr>
          <w:b/>
        </w:rPr>
        <w:t xml:space="preserve"> Ft</w:t>
      </w:r>
      <w:r w:rsidRPr="00635A6A">
        <w:t xml:space="preserve"> került betervezésre, melyből a kötelező feladathoz kapcsolódó előirányzat összege </w:t>
      </w:r>
      <w:r w:rsidR="00846560" w:rsidRPr="00635A6A">
        <w:t>665.021.021</w:t>
      </w:r>
      <w:r w:rsidRPr="00635A6A">
        <w:t xml:space="preserve"> Ft, míg az önként vállalt feladatok előirányzata </w:t>
      </w:r>
      <w:r w:rsidR="00265959" w:rsidRPr="00635A6A">
        <w:t>4</w:t>
      </w:r>
      <w:r w:rsidRPr="00635A6A">
        <w:t>.000.000 Ft.</w:t>
      </w:r>
    </w:p>
    <w:p w14:paraId="013EF81F" w14:textId="11F2018F" w:rsidR="003B7A97" w:rsidRPr="00635A6A" w:rsidRDefault="00641AB2">
      <w:pPr>
        <w:pStyle w:val="Standard"/>
        <w:tabs>
          <w:tab w:val="left" w:pos="7380"/>
        </w:tabs>
        <w:jc w:val="both"/>
      </w:pPr>
      <w:r w:rsidRPr="00635A6A">
        <w:t xml:space="preserve">A kötelező feladatok előirányzata </w:t>
      </w:r>
      <w:r w:rsidR="00DB3234" w:rsidRPr="00635A6A">
        <w:t>5</w:t>
      </w:r>
      <w:r w:rsidRPr="00635A6A">
        <w:t>.000.000 Ft általános</w:t>
      </w:r>
      <w:r w:rsidR="00846560" w:rsidRPr="00635A6A">
        <w:t>, valamint 656.163.814 Ft összegű cél</w:t>
      </w:r>
      <w:r w:rsidR="00DB3234" w:rsidRPr="00635A6A">
        <w:t>tartalékot</w:t>
      </w:r>
      <w:r w:rsidR="00846560" w:rsidRPr="00635A6A">
        <w:t xml:space="preserve"> (189.023.034 Ft a Foglalkoztatási Paktum Plusz pályázathoz, míg 467.140.780 Ft a Helyi humán fejlesztések pályázathoz kapcsolód</w:t>
      </w:r>
      <w:r w:rsidR="00085B1D" w:rsidRPr="00635A6A">
        <w:t>ik</w:t>
      </w:r>
      <w:r w:rsidR="00846560" w:rsidRPr="00635A6A">
        <w:t>)</w:t>
      </w:r>
      <w:r w:rsidR="00DB3234" w:rsidRPr="00635A6A">
        <w:t>,</w:t>
      </w:r>
      <w:r w:rsidRPr="00635A6A">
        <w:t xml:space="preserve"> 2.</w:t>
      </w:r>
      <w:r w:rsidR="00265959" w:rsidRPr="00635A6A">
        <w:t>25</w:t>
      </w:r>
      <w:r w:rsidRPr="00635A6A">
        <w:t xml:space="preserve">0.000 Ft összegben nemzetiségi feladatokhoz kapcsolódó támogatást, </w:t>
      </w:r>
      <w:r w:rsidR="00DB3234" w:rsidRPr="00635A6A">
        <w:t xml:space="preserve">továbbá </w:t>
      </w:r>
      <w:r w:rsidR="00846560" w:rsidRPr="00635A6A">
        <w:t>1.607.207</w:t>
      </w:r>
      <w:r w:rsidR="003B7A97" w:rsidRPr="00635A6A">
        <w:t xml:space="preserve"> Ft összegben </w:t>
      </w:r>
      <w:r w:rsidR="007E75FF" w:rsidRPr="00635A6A">
        <w:t xml:space="preserve">a </w:t>
      </w:r>
      <w:r w:rsidR="00846560" w:rsidRPr="00635A6A">
        <w:t>2021-2027 tervezés előkészítése pályázat</w:t>
      </w:r>
      <w:r w:rsidR="007E75FF" w:rsidRPr="00635A6A">
        <w:t xml:space="preserve">, valamint </w:t>
      </w:r>
      <w:r w:rsidR="00846560" w:rsidRPr="00635A6A">
        <w:t>kettő</w:t>
      </w:r>
      <w:r w:rsidR="003B7A97" w:rsidRPr="00635A6A">
        <w:t xml:space="preserve"> EFOP-1.5.3 pályázat vonatkozásában fel nem használt támogatás visszautalásának összegét tartalmazza.</w:t>
      </w:r>
    </w:p>
    <w:p w14:paraId="69955D40" w14:textId="7DE7B75D" w:rsidR="003B31ED" w:rsidRPr="00635A6A" w:rsidRDefault="00641AB2">
      <w:pPr>
        <w:pStyle w:val="Standard"/>
        <w:jc w:val="both"/>
      </w:pPr>
      <w:r w:rsidRPr="00635A6A">
        <w:t xml:space="preserve">Önként vállalt feladatként </w:t>
      </w:r>
      <w:r w:rsidR="003B7A97" w:rsidRPr="00635A6A">
        <w:t>4</w:t>
      </w:r>
      <w:r w:rsidRPr="00635A6A">
        <w:t xml:space="preserve">.000.000 Ft jelenik meg ezen a rovaton, </w:t>
      </w:r>
      <w:r w:rsidR="003B7A97" w:rsidRPr="00635A6A">
        <w:t>amely az elnöki hatáskörben</w:t>
      </w:r>
      <w:r w:rsidRPr="00635A6A">
        <w:t xml:space="preserve"> felhasználható keret összege.</w:t>
      </w:r>
    </w:p>
    <w:p w14:paraId="22274B79" w14:textId="4E1D446C" w:rsidR="003B31ED" w:rsidRPr="00635A6A" w:rsidRDefault="00641AB2">
      <w:pPr>
        <w:pStyle w:val="Standard"/>
        <w:jc w:val="both"/>
      </w:pPr>
      <w:r w:rsidRPr="00635A6A">
        <w:t xml:space="preserve">A kiemelt előirányzat kötelező feladatként </w:t>
      </w:r>
      <w:r w:rsidR="00846560" w:rsidRPr="00635A6A">
        <w:t>3.857.207</w:t>
      </w:r>
      <w:r w:rsidRPr="00635A6A">
        <w:t xml:space="preserve"> Ft összegben, önként vállalt feladatként </w:t>
      </w:r>
      <w:r w:rsidR="003B7A97" w:rsidRPr="00635A6A">
        <w:t>4</w:t>
      </w:r>
      <w:r w:rsidRPr="00635A6A">
        <w:t>.000.000 Ft összegben tartalmaz működési célú támogatásokat</w:t>
      </w:r>
      <w:r w:rsidRPr="00635A6A">
        <w:rPr>
          <w:b/>
          <w:i/>
        </w:rPr>
        <w:t xml:space="preserve"> </w:t>
      </w:r>
      <w:r w:rsidRPr="00635A6A">
        <w:t>államháztartáson belülre és kívülre a költségvetési rendelet 8. mellékletében részletezettek szerint</w:t>
      </w:r>
      <w:r w:rsidR="00846560" w:rsidRPr="00635A6A">
        <w:t>.</w:t>
      </w:r>
    </w:p>
    <w:p w14:paraId="58873806" w14:textId="18C7573A" w:rsidR="003B31ED" w:rsidRPr="00635A6A" w:rsidRDefault="00641AB2">
      <w:pPr>
        <w:pStyle w:val="Standard"/>
        <w:jc w:val="both"/>
      </w:pPr>
      <w:r w:rsidRPr="00635A6A">
        <w:t xml:space="preserve">A </w:t>
      </w:r>
      <w:r w:rsidRPr="00635A6A">
        <w:rPr>
          <w:b/>
          <w:bCs/>
        </w:rPr>
        <w:t>felhalmozási költségvetési kiadások</w:t>
      </w:r>
      <w:r w:rsidRPr="00635A6A">
        <w:t xml:space="preserve"> összege </w:t>
      </w:r>
      <w:r w:rsidR="00085B1D" w:rsidRPr="00635A6A">
        <w:rPr>
          <w:b/>
        </w:rPr>
        <w:t>434.792.849</w:t>
      </w:r>
      <w:r w:rsidRPr="00635A6A">
        <w:rPr>
          <w:b/>
        </w:rPr>
        <w:t xml:space="preserve"> Ft</w:t>
      </w:r>
      <w:r w:rsidRPr="00635A6A">
        <w:t>, amely</w:t>
      </w:r>
      <w:r w:rsidR="00085B1D" w:rsidRPr="00635A6A">
        <w:t>ből</w:t>
      </w:r>
      <w:r w:rsidRPr="00635A6A">
        <w:t xml:space="preserve"> a </w:t>
      </w:r>
      <w:r w:rsidRPr="00635A6A">
        <w:rPr>
          <w:b/>
        </w:rPr>
        <w:t>beruházások (K6 rovat)</w:t>
      </w:r>
      <w:r w:rsidRPr="00635A6A">
        <w:t xml:space="preserve"> kiemelt kiadási jogcím előirányzata</w:t>
      </w:r>
      <w:r w:rsidR="00085B1D" w:rsidRPr="00635A6A">
        <w:t xml:space="preserve"> </w:t>
      </w:r>
      <w:r w:rsidR="00085B1D" w:rsidRPr="00635A6A">
        <w:rPr>
          <w:b/>
          <w:bCs/>
        </w:rPr>
        <w:t>357.789.724 Ft</w:t>
      </w:r>
      <w:r w:rsidR="00085B1D" w:rsidRPr="00635A6A">
        <w:t xml:space="preserve">, míg a </w:t>
      </w:r>
      <w:r w:rsidR="00085B1D" w:rsidRPr="00635A6A">
        <w:rPr>
          <w:b/>
          <w:bCs/>
        </w:rPr>
        <w:t>felújítások (K7 rovat)</w:t>
      </w:r>
      <w:r w:rsidR="00085B1D" w:rsidRPr="00635A6A">
        <w:t xml:space="preserve"> kiemelt kiadási jogcím előirányzata </w:t>
      </w:r>
      <w:r w:rsidR="00085B1D" w:rsidRPr="00635A6A">
        <w:rPr>
          <w:b/>
          <w:bCs/>
        </w:rPr>
        <w:t>77.003.125 Ft</w:t>
      </w:r>
      <w:r w:rsidRPr="00635A6A">
        <w:t>. A felhalmozási költségvetési kiadások részletezését beruházásonként a rendelet 9. melléklete tartalmazza.</w:t>
      </w:r>
    </w:p>
    <w:p w14:paraId="567D1A91" w14:textId="49BBF2A1" w:rsidR="003B31ED" w:rsidRPr="00635A6A" w:rsidRDefault="00641AB2">
      <w:pPr>
        <w:pStyle w:val="Standard"/>
        <w:jc w:val="both"/>
      </w:pPr>
      <w:r w:rsidRPr="00635A6A">
        <w:t xml:space="preserve">A </w:t>
      </w:r>
      <w:r w:rsidRPr="00635A6A">
        <w:rPr>
          <w:b/>
        </w:rPr>
        <w:t>finanszírozási kiadások (K9 rovat)</w:t>
      </w:r>
      <w:r w:rsidRPr="00635A6A">
        <w:t xml:space="preserve"> összege </w:t>
      </w:r>
      <w:r w:rsidR="00085B1D" w:rsidRPr="00635A6A">
        <w:rPr>
          <w:b/>
        </w:rPr>
        <w:t>534.459.505</w:t>
      </w:r>
      <w:r w:rsidRPr="00635A6A">
        <w:rPr>
          <w:b/>
        </w:rPr>
        <w:t xml:space="preserve"> Ft</w:t>
      </w:r>
      <w:r w:rsidRPr="00635A6A">
        <w:t xml:space="preserve">, melyből az önkormányzati hivatal részére nyújtott irányító szervi támogatás összege </w:t>
      </w:r>
      <w:r w:rsidR="00085B1D" w:rsidRPr="00635A6A">
        <w:t>518.835.505</w:t>
      </w:r>
      <w:r w:rsidRPr="00635A6A">
        <w:t xml:space="preserve"> Ft, míg az államháztartáson belüli megelőlegezés visszafizetése 1</w:t>
      </w:r>
      <w:r w:rsidR="00085B1D" w:rsidRPr="00635A6A">
        <w:t>5.624.000</w:t>
      </w:r>
      <w:r w:rsidRPr="00635A6A">
        <w:t xml:space="preserve"> Ft.</w:t>
      </w:r>
    </w:p>
    <w:p w14:paraId="18710518" w14:textId="12C44370" w:rsidR="003B31ED" w:rsidRPr="00635A6A" w:rsidRDefault="00641AB2">
      <w:pPr>
        <w:pStyle w:val="Standard"/>
        <w:jc w:val="both"/>
      </w:pPr>
      <w:r w:rsidRPr="00635A6A">
        <w:t xml:space="preserve">A </w:t>
      </w:r>
      <w:r w:rsidRPr="00635A6A">
        <w:rPr>
          <w:b/>
          <w:bCs/>
        </w:rPr>
        <w:t>költségvetési</w:t>
      </w:r>
      <w:r w:rsidRPr="00635A6A">
        <w:t xml:space="preserve"> és </w:t>
      </w:r>
      <w:r w:rsidRPr="00635A6A">
        <w:rPr>
          <w:b/>
          <w:bCs/>
        </w:rPr>
        <w:t>finanszírozási kiadások</w:t>
      </w:r>
      <w:r w:rsidRPr="00635A6A">
        <w:t xml:space="preserve"> együttes összege </w:t>
      </w:r>
      <w:r w:rsidR="00085B1D" w:rsidRPr="00635A6A">
        <w:rPr>
          <w:b/>
        </w:rPr>
        <w:t>2.950.747.313</w:t>
      </w:r>
      <w:r w:rsidRPr="00635A6A">
        <w:rPr>
          <w:b/>
        </w:rPr>
        <w:t xml:space="preserve"> Ft</w:t>
      </w:r>
      <w:r w:rsidRPr="00635A6A">
        <w:t>.</w:t>
      </w:r>
    </w:p>
    <w:p w14:paraId="42DD2A15" w14:textId="3EE9CE26" w:rsidR="003B31ED" w:rsidRPr="00635A6A" w:rsidRDefault="00641AB2">
      <w:pPr>
        <w:pStyle w:val="Standard"/>
        <w:jc w:val="both"/>
      </w:pPr>
      <w:r w:rsidRPr="00635A6A">
        <w:lastRenderedPageBreak/>
        <w:t>Az európai uniós forrásból finanszírozott támogatással megvalósuló projektek bevételeit és kiadásait a rendelet 4.</w:t>
      </w:r>
      <w:r w:rsidR="00085B1D" w:rsidRPr="00635A6A">
        <w:t xml:space="preserve"> melléklete tartalmazza</w:t>
      </w:r>
      <w:r w:rsidRPr="00635A6A">
        <w:t>,</w:t>
      </w:r>
      <w:r w:rsidR="00085B1D" w:rsidRPr="00635A6A">
        <w:t xml:space="preserve"> melynek további részletezését a rendelet</w:t>
      </w:r>
      <w:r w:rsidRPr="00635A6A">
        <w:t xml:space="preserve"> 5. </w:t>
      </w:r>
      <w:r w:rsidR="00085B1D" w:rsidRPr="00635A6A">
        <w:t xml:space="preserve">melléklete (bevételek) </w:t>
      </w:r>
      <w:r w:rsidRPr="00635A6A">
        <w:t>és 6. melléklete</w:t>
      </w:r>
      <w:r w:rsidR="00085B1D" w:rsidRPr="00635A6A">
        <w:t xml:space="preserve"> (kiadások)</w:t>
      </w:r>
      <w:r w:rsidRPr="00635A6A">
        <w:t xml:space="preserve"> tartalmazza.</w:t>
      </w:r>
    </w:p>
    <w:p w14:paraId="39A44298" w14:textId="77777777" w:rsidR="003B31ED" w:rsidRPr="00635A6A" w:rsidRDefault="00641AB2">
      <w:pPr>
        <w:pStyle w:val="Standard"/>
        <w:jc w:val="both"/>
      </w:pPr>
      <w:r w:rsidRPr="00635A6A">
        <w:t>Az önként vállalt feladatokat a rendelet 7. melléklete mutatja be.</w:t>
      </w:r>
    </w:p>
    <w:p w14:paraId="6D9B8853" w14:textId="77777777" w:rsidR="003B31ED" w:rsidRPr="00635A6A" w:rsidRDefault="00641AB2">
      <w:pPr>
        <w:pStyle w:val="Standard"/>
        <w:jc w:val="both"/>
      </w:pPr>
      <w:r w:rsidRPr="00635A6A">
        <w:t>Az önkormányzat költségvetési mérlegét (bevételi előirányzatok és kiadási előirányzatok kiemelt előirányzatok szerinti bontásban) a rendelet 2. melléklete foglalja össze.</w:t>
      </w:r>
    </w:p>
    <w:p w14:paraId="02C9C075" w14:textId="77777777" w:rsidR="003B31ED" w:rsidRPr="00635A6A" w:rsidRDefault="00641AB2">
      <w:pPr>
        <w:pStyle w:val="Standard"/>
        <w:jc w:val="both"/>
      </w:pPr>
      <w:r w:rsidRPr="00635A6A">
        <w:t>Az Áht. rendelkezéseinek megfelelően a többéves kihatással járó döntések számszerűsítését az előterjesztés 1. melléklete tartalmazza. A közgyűlés ilyen jellegű döntése az európai uniós pályázatokhoz szükséges önerő biztosítására vonatkozott, ennek összetevőit és összegeit mutatja be a hivatkozott melléklet.</w:t>
      </w:r>
    </w:p>
    <w:p w14:paraId="10E8F5FD" w14:textId="77777777" w:rsidR="003B31ED" w:rsidRPr="00635A6A" w:rsidRDefault="00641AB2">
      <w:pPr>
        <w:pStyle w:val="Standard"/>
        <w:jc w:val="both"/>
      </w:pPr>
      <w:r w:rsidRPr="00635A6A">
        <w:t>Az önkormányzat által nyújtott közvetett támogatásokat az előterjesztés 2. melléklete tartalmazza. Az önkormányzat közvetett támogatást nem nyújt.</w:t>
      </w:r>
    </w:p>
    <w:p w14:paraId="5431A834" w14:textId="641060ED" w:rsidR="003B31ED" w:rsidRPr="00635A6A" w:rsidRDefault="00641AB2">
      <w:pPr>
        <w:pStyle w:val="Standard"/>
        <w:jc w:val="both"/>
      </w:pPr>
      <w:r w:rsidRPr="00635A6A">
        <w:t xml:space="preserve">Hajdú-Bihar </w:t>
      </w:r>
      <w:r w:rsidR="00F04F9B" w:rsidRPr="00635A6A">
        <w:t>Várm</w:t>
      </w:r>
      <w:r w:rsidRPr="00635A6A">
        <w:t>egye Önkormányzat</w:t>
      </w:r>
      <w:r w:rsidR="00F04F9B" w:rsidRPr="00635A6A">
        <w:t>a</w:t>
      </w:r>
      <w:r w:rsidRPr="00635A6A">
        <w:t xml:space="preserve"> 202</w:t>
      </w:r>
      <w:r w:rsidR="00085B1D" w:rsidRPr="00635A6A">
        <w:t>5</w:t>
      </w:r>
      <w:r w:rsidRPr="00635A6A">
        <w:t>. évi havi előirányzat-felhasználási tervét az előterjesztés 3. melléklete mutatja be. A tervből megállapítható, hogy a finanszírozás kiegyensúlyozott, a felmerülő kiadásokat minden időszakban finanszírozni tudják a bevételek.</w:t>
      </w:r>
    </w:p>
    <w:p w14:paraId="100EB3B4" w14:textId="3009C513" w:rsidR="003B31ED" w:rsidRPr="00635A6A" w:rsidRDefault="00641AB2">
      <w:pPr>
        <w:pStyle w:val="Standard"/>
        <w:jc w:val="both"/>
      </w:pPr>
      <w:r w:rsidRPr="00635A6A">
        <w:t>A nemzetközi pályázatok (közvetlen brüsszeli források) elfogadott elszámolását követően a támogatás megérkezéséig a felmerült kiadásokat – szükség szerint – a központi költségvetés (az általános működési támogatáson keresztül), továbbá az előző évekből származó maradványként az előfinanszírozásként megkapott hazai társfinanszírozási támogatások és a megelőlegezési támogatások összegei finanszírozzák. A hazai költségvetésen keresztül érkező uniós pályázatok (operatív programok) finanszírozását pedig az előleg támogatások teszik kiegyensúlyozottá.</w:t>
      </w:r>
      <w:r w:rsidR="00085B1D" w:rsidRPr="00635A6A">
        <w:t xml:space="preserve"> </w:t>
      </w:r>
    </w:p>
    <w:p w14:paraId="1F10A795" w14:textId="77777777" w:rsidR="003B31ED" w:rsidRPr="00635A6A" w:rsidRDefault="00641AB2">
      <w:pPr>
        <w:pStyle w:val="Standard"/>
        <w:jc w:val="both"/>
      </w:pPr>
      <w:r w:rsidRPr="00635A6A">
        <w:t>Tájékoztatásként bemutatásra kerül továbbá az önkormányzat összevont költségvetési mérlege, amely az előterjesztés 4. melléklete. Az önkormányzat költségvetési mérlegét az előterjesztés 5. melléklete, az önkormányzati hivatal költségvetési mérlegét az előterjesztés 6. melléklete tartalmazza. A mérlegek az Áht. 102. § (3) bekezdése alapján, az abban meghatározott szerkezetnek megfelelően készültek.</w:t>
      </w:r>
    </w:p>
    <w:p w14:paraId="5CF9B287" w14:textId="2E235929" w:rsidR="003B31ED" w:rsidRPr="00635A6A" w:rsidRDefault="00641AB2">
      <w:pPr>
        <w:pStyle w:val="Standard"/>
        <w:jc w:val="both"/>
      </w:pPr>
      <w:r w:rsidRPr="00635A6A">
        <w:t>Az önkormányzat 202</w:t>
      </w:r>
      <w:r w:rsidR="00085B1D" w:rsidRPr="00635A6A">
        <w:t>5</w:t>
      </w:r>
      <w:r w:rsidRPr="00635A6A">
        <w:t>. évi költségvetési évet követő három évben tervezett előirányzatainak keretszámait főbb csoportokban az előterjesztés 7. melléklete tartalmazza.</w:t>
      </w:r>
    </w:p>
    <w:p w14:paraId="7242D61B" w14:textId="7BA3C2B1" w:rsidR="003B31ED" w:rsidRPr="00635A6A" w:rsidRDefault="00641AB2">
      <w:pPr>
        <w:pStyle w:val="Standard"/>
        <w:jc w:val="both"/>
      </w:pPr>
      <w:r w:rsidRPr="00635A6A">
        <w:t>Az előterjesztés 8. mellékletében tájékoztatásként bemutatásra kerülnek a hazai költségvetési forrásból megvalósuló pályázatok 202</w:t>
      </w:r>
      <w:r w:rsidR="00085B1D" w:rsidRPr="00635A6A">
        <w:t>5</w:t>
      </w:r>
      <w:r w:rsidRPr="00635A6A">
        <w:t>. évre vonatkozó bevételi és kiadási előirányzatai.</w:t>
      </w:r>
    </w:p>
    <w:p w14:paraId="091CCDB0" w14:textId="77777777" w:rsidR="003B31ED" w:rsidRPr="00635A6A" w:rsidRDefault="003B31ED">
      <w:pPr>
        <w:pStyle w:val="Standard"/>
        <w:jc w:val="both"/>
      </w:pPr>
    </w:p>
    <w:p w14:paraId="310B806D" w14:textId="77777777" w:rsidR="003B31ED" w:rsidRPr="00635A6A" w:rsidRDefault="00641AB2">
      <w:pPr>
        <w:pStyle w:val="Standard"/>
        <w:jc w:val="center"/>
      </w:pPr>
      <w:r w:rsidRPr="00635A6A">
        <w:rPr>
          <w:b/>
        </w:rPr>
        <w:t>2. Az önkormányzati hivatal költségvetése</w:t>
      </w:r>
    </w:p>
    <w:p w14:paraId="214AA4E0" w14:textId="77777777" w:rsidR="003B31ED" w:rsidRPr="00635A6A" w:rsidRDefault="003B31ED">
      <w:pPr>
        <w:pStyle w:val="Standard"/>
        <w:jc w:val="both"/>
      </w:pPr>
    </w:p>
    <w:p w14:paraId="47A3DF98" w14:textId="77777777" w:rsidR="003B31ED" w:rsidRPr="00635A6A" w:rsidRDefault="00641AB2">
      <w:pPr>
        <w:pStyle w:val="Standard"/>
        <w:jc w:val="center"/>
      </w:pPr>
      <w:r w:rsidRPr="00635A6A">
        <w:rPr>
          <w:b/>
        </w:rPr>
        <w:t>Bevételek</w:t>
      </w:r>
    </w:p>
    <w:p w14:paraId="74C5A93A" w14:textId="77777777" w:rsidR="003B31ED" w:rsidRPr="00635A6A" w:rsidRDefault="003B31ED">
      <w:pPr>
        <w:pStyle w:val="Standard"/>
        <w:jc w:val="center"/>
        <w:rPr>
          <w:b/>
        </w:rPr>
      </w:pPr>
    </w:p>
    <w:p w14:paraId="5DF9FC32" w14:textId="1ED20E1E" w:rsidR="003B31ED" w:rsidRPr="00635A6A" w:rsidRDefault="00641AB2">
      <w:pPr>
        <w:pStyle w:val="Standard"/>
        <w:jc w:val="both"/>
      </w:pPr>
      <w:r w:rsidRPr="00635A6A">
        <w:t xml:space="preserve">Az önkormányzati hivatal összes bevétele </w:t>
      </w:r>
      <w:r w:rsidR="00E54BE5" w:rsidRPr="00635A6A">
        <w:rPr>
          <w:b/>
        </w:rPr>
        <w:t>519.795.505</w:t>
      </w:r>
      <w:r w:rsidRPr="00635A6A">
        <w:rPr>
          <w:b/>
        </w:rPr>
        <w:t xml:space="preserve"> Ft</w:t>
      </w:r>
      <w:r w:rsidRPr="00635A6A">
        <w:t xml:space="preserve">, amelyből a költségvetési bevételek összege </w:t>
      </w:r>
      <w:r w:rsidR="00E54BE5" w:rsidRPr="00635A6A">
        <w:rPr>
          <w:b/>
          <w:bCs/>
        </w:rPr>
        <w:t>96</w:t>
      </w:r>
      <w:r w:rsidR="00F04F9B" w:rsidRPr="00635A6A">
        <w:rPr>
          <w:b/>
          <w:bCs/>
        </w:rPr>
        <w:t>0.000</w:t>
      </w:r>
      <w:r w:rsidRPr="00635A6A">
        <w:rPr>
          <w:b/>
        </w:rPr>
        <w:t xml:space="preserve"> Ft</w:t>
      </w:r>
      <w:r w:rsidRPr="00635A6A">
        <w:t xml:space="preserve">, míg a finanszírozási bevételek összege </w:t>
      </w:r>
      <w:r w:rsidR="00E54BE5" w:rsidRPr="00635A6A">
        <w:rPr>
          <w:b/>
          <w:bCs/>
        </w:rPr>
        <w:t>518.835.505</w:t>
      </w:r>
      <w:r w:rsidRPr="00635A6A">
        <w:rPr>
          <w:b/>
        </w:rPr>
        <w:t xml:space="preserve"> Ft</w:t>
      </w:r>
      <w:r w:rsidRPr="00635A6A">
        <w:t>.</w:t>
      </w:r>
    </w:p>
    <w:p w14:paraId="45C2C26B" w14:textId="30F89B4D" w:rsidR="00842713" w:rsidRPr="00635A6A" w:rsidRDefault="00641AB2">
      <w:pPr>
        <w:pStyle w:val="Standard"/>
        <w:jc w:val="both"/>
      </w:pPr>
      <w:r w:rsidRPr="00635A6A">
        <w:t xml:space="preserve">A költségvetési bevételek kizárólag </w:t>
      </w:r>
      <w:r w:rsidRPr="00635A6A">
        <w:rPr>
          <w:b/>
          <w:bCs/>
        </w:rPr>
        <w:t>működési bevételt</w:t>
      </w:r>
      <w:r w:rsidRPr="00635A6A">
        <w:t xml:space="preserve"> tartalmaznak:</w:t>
      </w:r>
      <w:r w:rsidR="00F04F9B" w:rsidRPr="00635A6A">
        <w:t xml:space="preserve"> a</w:t>
      </w:r>
      <w:r w:rsidR="00842713" w:rsidRPr="00635A6A">
        <w:t xml:space="preserve"> </w:t>
      </w:r>
      <w:r w:rsidR="00842713" w:rsidRPr="00635A6A">
        <w:rPr>
          <w:b/>
          <w:bCs/>
        </w:rPr>
        <w:t>működési bevételek (B4 rovat)</w:t>
      </w:r>
      <w:r w:rsidR="00842713" w:rsidRPr="00635A6A">
        <w:t xml:space="preserve"> bevételi jogcím </w:t>
      </w:r>
      <w:r w:rsidR="00E54BE5" w:rsidRPr="00635A6A">
        <w:rPr>
          <w:b/>
          <w:bCs/>
        </w:rPr>
        <w:t>96</w:t>
      </w:r>
      <w:r w:rsidR="00F04F9B" w:rsidRPr="00635A6A">
        <w:rPr>
          <w:b/>
          <w:bCs/>
        </w:rPr>
        <w:t>0</w:t>
      </w:r>
      <w:r w:rsidR="00842713" w:rsidRPr="00635A6A">
        <w:rPr>
          <w:b/>
          <w:bCs/>
        </w:rPr>
        <w:t>.000 Ft</w:t>
      </w:r>
      <w:r w:rsidR="00842713" w:rsidRPr="00635A6A">
        <w:t xml:space="preserve"> összege a ROHU Info Pont céljára történő irodahelyiség bérbeadásából származik.</w:t>
      </w:r>
    </w:p>
    <w:p w14:paraId="5CFA827A" w14:textId="63922FF2" w:rsidR="005A690C" w:rsidRPr="00635A6A" w:rsidRDefault="00641AB2" w:rsidP="005A690C">
      <w:pPr>
        <w:pStyle w:val="Standard"/>
        <w:jc w:val="both"/>
        <w:rPr>
          <w:b/>
        </w:rPr>
      </w:pPr>
      <w:r w:rsidRPr="00635A6A">
        <w:t xml:space="preserve">A </w:t>
      </w:r>
      <w:r w:rsidRPr="00635A6A">
        <w:rPr>
          <w:b/>
          <w:bCs/>
        </w:rPr>
        <w:t>finanszírozási bevételek (B8 rovat)</w:t>
      </w:r>
      <w:r w:rsidRPr="00635A6A">
        <w:t xml:space="preserve"> előirányzata </w:t>
      </w:r>
      <w:r w:rsidR="00E54BE5" w:rsidRPr="00635A6A">
        <w:rPr>
          <w:b/>
        </w:rPr>
        <w:t>518.835.505</w:t>
      </w:r>
      <w:r w:rsidRPr="00635A6A">
        <w:rPr>
          <w:b/>
        </w:rPr>
        <w:t xml:space="preserve"> Ft, </w:t>
      </w:r>
      <w:r w:rsidRPr="00635A6A">
        <w:rPr>
          <w:bCs/>
        </w:rPr>
        <w:t>amely</w:t>
      </w:r>
      <w:r w:rsidRPr="00635A6A">
        <w:t xml:space="preserve"> az önkormányzattól az önkormányzati hivatal részére nyújtott irányító szervi támogatás (</w:t>
      </w:r>
      <w:r w:rsidR="00057219" w:rsidRPr="00635A6A">
        <w:t>intézményfinanszírozás) összege</w:t>
      </w:r>
      <w:r w:rsidR="00E54BE5" w:rsidRPr="00635A6A">
        <w:t>.</w:t>
      </w:r>
      <w:r w:rsidR="00057219" w:rsidRPr="00635A6A">
        <w:t xml:space="preserve"> </w:t>
      </w:r>
    </w:p>
    <w:p w14:paraId="06C1CF6E" w14:textId="77777777" w:rsidR="005A690C" w:rsidRPr="00635A6A" w:rsidRDefault="005A690C" w:rsidP="005A690C">
      <w:pPr>
        <w:pStyle w:val="Standard"/>
        <w:jc w:val="both"/>
        <w:rPr>
          <w:b/>
        </w:rPr>
      </w:pPr>
    </w:p>
    <w:p w14:paraId="74DE33A3" w14:textId="116C6740" w:rsidR="003B31ED" w:rsidRPr="00635A6A" w:rsidRDefault="00641AB2" w:rsidP="005A690C">
      <w:pPr>
        <w:pStyle w:val="Standard"/>
        <w:jc w:val="center"/>
      </w:pPr>
      <w:r w:rsidRPr="00635A6A">
        <w:rPr>
          <w:b/>
        </w:rPr>
        <w:t>Kiadások</w:t>
      </w:r>
    </w:p>
    <w:p w14:paraId="0B6FDFBE" w14:textId="77777777" w:rsidR="003B31ED" w:rsidRPr="00635A6A" w:rsidRDefault="003B31ED" w:rsidP="005A690C">
      <w:pPr>
        <w:pStyle w:val="Standard"/>
        <w:jc w:val="center"/>
        <w:rPr>
          <w:b/>
        </w:rPr>
      </w:pPr>
    </w:p>
    <w:p w14:paraId="5DE7224F" w14:textId="2299564E" w:rsidR="003B31ED" w:rsidRPr="00635A6A" w:rsidRDefault="00641AB2">
      <w:pPr>
        <w:pStyle w:val="Standard"/>
        <w:jc w:val="both"/>
      </w:pPr>
      <w:r w:rsidRPr="00635A6A">
        <w:t xml:space="preserve">Az önkormányzati hivatal költségvetési kiadásaiban önként vállalt feladat nem jelentkezik. Az önkormányzati hivatal összes kiadása </w:t>
      </w:r>
      <w:r w:rsidR="00E54BE5" w:rsidRPr="00635A6A">
        <w:rPr>
          <w:b/>
        </w:rPr>
        <w:t>519.795.505</w:t>
      </w:r>
      <w:r w:rsidRPr="00635A6A">
        <w:rPr>
          <w:b/>
        </w:rPr>
        <w:t xml:space="preserve"> Ft</w:t>
      </w:r>
      <w:r w:rsidRPr="00635A6A">
        <w:t xml:space="preserve">, amelyből a működési költségvetési kiadások összege </w:t>
      </w:r>
      <w:r w:rsidR="00E54BE5" w:rsidRPr="00635A6A">
        <w:rPr>
          <w:b/>
        </w:rPr>
        <w:t>517.509.505</w:t>
      </w:r>
      <w:r w:rsidRPr="00635A6A">
        <w:rPr>
          <w:b/>
        </w:rPr>
        <w:t xml:space="preserve"> Ft</w:t>
      </w:r>
      <w:r w:rsidRPr="00635A6A">
        <w:t xml:space="preserve">, míg a felhalmozási költségvetési kiadások összege </w:t>
      </w:r>
      <w:r w:rsidR="00E54BE5" w:rsidRPr="00635A6A">
        <w:rPr>
          <w:b/>
        </w:rPr>
        <w:t>2.286</w:t>
      </w:r>
      <w:r w:rsidRPr="00635A6A">
        <w:t>.</w:t>
      </w:r>
      <w:r w:rsidRPr="00635A6A">
        <w:rPr>
          <w:b/>
        </w:rPr>
        <w:t>000</w:t>
      </w:r>
      <w:r w:rsidRPr="00635A6A">
        <w:t xml:space="preserve"> </w:t>
      </w:r>
      <w:r w:rsidRPr="00635A6A">
        <w:rPr>
          <w:b/>
        </w:rPr>
        <w:t>Ft</w:t>
      </w:r>
      <w:r w:rsidRPr="00635A6A">
        <w:t>.</w:t>
      </w:r>
    </w:p>
    <w:p w14:paraId="071C29F0" w14:textId="77777777" w:rsidR="003B31ED" w:rsidRPr="00635A6A" w:rsidRDefault="00641AB2">
      <w:pPr>
        <w:pStyle w:val="Standard"/>
        <w:jc w:val="both"/>
      </w:pPr>
      <w:r w:rsidRPr="00635A6A">
        <w:lastRenderedPageBreak/>
        <w:t>A működési költségvetési kiadások az alábbi kiemelt kiadási előirányzatokból tevődnek össze:</w:t>
      </w:r>
    </w:p>
    <w:p w14:paraId="5E818B9E" w14:textId="203B0542" w:rsidR="003B31ED" w:rsidRPr="00635A6A" w:rsidRDefault="00641AB2">
      <w:pPr>
        <w:pStyle w:val="Standard"/>
        <w:jc w:val="both"/>
      </w:pPr>
      <w:r w:rsidRPr="00635A6A">
        <w:rPr>
          <w:b/>
        </w:rPr>
        <w:t>Személyi juttatások (K1 rovat)</w:t>
      </w:r>
      <w:r w:rsidRPr="00635A6A">
        <w:t xml:space="preserve"> előirányzata </w:t>
      </w:r>
      <w:r w:rsidR="00E54BE5" w:rsidRPr="00635A6A">
        <w:rPr>
          <w:b/>
        </w:rPr>
        <w:t>402.734.928</w:t>
      </w:r>
      <w:r w:rsidRPr="00635A6A">
        <w:rPr>
          <w:b/>
        </w:rPr>
        <w:t xml:space="preserve"> Ft</w:t>
      </w:r>
      <w:r w:rsidRPr="00635A6A">
        <w:t>, amely a hivatali apparátus rendszeres és nem rendszeres bérjellegű kiadásait, a közszolgálati szabályzat szerinti juttatásokat, a nemzetközi pályázatokhoz kapcsolódó személyi jellegű kiadásokat, továbbá a megbízási jogviszony keretében foglalkoztatottak kiadásait tartalmazza.</w:t>
      </w:r>
    </w:p>
    <w:p w14:paraId="2AD6056A" w14:textId="18534633" w:rsidR="003B31ED" w:rsidRPr="00635A6A" w:rsidRDefault="00641AB2">
      <w:pPr>
        <w:pStyle w:val="Standard"/>
        <w:jc w:val="both"/>
      </w:pPr>
      <w:r w:rsidRPr="00635A6A">
        <w:t>A köztisztviselői illetményalap összege</w:t>
      </w:r>
      <w:r w:rsidR="005A690C" w:rsidRPr="00635A6A">
        <w:t xml:space="preserve"> hivatalunknál</w:t>
      </w:r>
      <w:r w:rsidRPr="00635A6A">
        <w:t xml:space="preserve"> </w:t>
      </w:r>
      <w:r w:rsidR="00057219" w:rsidRPr="00635A6A">
        <w:t>202</w:t>
      </w:r>
      <w:r w:rsidR="00E54BE5" w:rsidRPr="00635A6A">
        <w:t>5</w:t>
      </w:r>
      <w:r w:rsidRPr="00635A6A">
        <w:t xml:space="preserve">. évben </w:t>
      </w:r>
      <w:r w:rsidR="00E54BE5" w:rsidRPr="00635A6A">
        <w:t>61</w:t>
      </w:r>
      <w:r w:rsidRPr="00635A6A">
        <w:t>.</w:t>
      </w:r>
      <w:r w:rsidR="00E54BE5" w:rsidRPr="00635A6A">
        <w:t>5</w:t>
      </w:r>
      <w:r w:rsidRPr="00635A6A">
        <w:t xml:space="preserve">00 Ft. A fizetési számlához kapcsolódó költségtérítés az előző évi mértékben, 1.000 Ft/fő/hó összegben került tervezésre. Az illetménykiegészítés mértéke a felsőfokú iskolai végzettségű köztisztviselők esetében 40 %, az érettségi végzettségű köztisztviselők esetében 20 %. A saját gépjárművel történő munkába járás után kilométerenként fizetendő </w:t>
      </w:r>
      <w:r w:rsidR="00EB6E49" w:rsidRPr="00635A6A">
        <w:t xml:space="preserve">költségtérítés </w:t>
      </w:r>
      <w:r w:rsidRPr="00635A6A">
        <w:t>összeg</w:t>
      </w:r>
      <w:r w:rsidR="00EB6E49" w:rsidRPr="00635A6A">
        <w:t>e</w:t>
      </w:r>
      <w:r w:rsidRPr="00635A6A">
        <w:t xml:space="preserve"> 30 Ft-ban került megtervezésre.  Cafetériaként évi bruttó 512.000 Ft került betervezésre munkavállalónként, amely a közterheket is tartalmazza.</w:t>
      </w:r>
    </w:p>
    <w:p w14:paraId="6F9A8541" w14:textId="11121F10" w:rsidR="003B31ED" w:rsidRPr="00635A6A" w:rsidRDefault="00641AB2">
      <w:pPr>
        <w:pStyle w:val="Standard"/>
        <w:jc w:val="both"/>
      </w:pPr>
      <w:r w:rsidRPr="00635A6A">
        <w:t xml:space="preserve">Az Ávr. 51. § (1) bekezdése szerint célfeladat ellátására, személyi ösztönzésre a költségvetési évben vállalható kötelezettség összegét a költségvetési rendeletben kell rögzíteni, ennek megfelelően tartalmazza az erre való utalást a rendelet 4. § (1) bekezdése. A kiemelt előirányzat </w:t>
      </w:r>
      <w:r w:rsidR="00E54BE5" w:rsidRPr="00635A6A">
        <w:t>29.40</w:t>
      </w:r>
      <w:r w:rsidR="000367C3" w:rsidRPr="00635A6A">
        <w:t>0.000</w:t>
      </w:r>
      <w:r w:rsidRPr="00635A6A">
        <w:t xml:space="preserve"> Ft összegben tartalmaz fedezetet a tárgyévben felmerülő ezen kiadások finanszírozására.</w:t>
      </w:r>
    </w:p>
    <w:p w14:paraId="15F6EEF9" w14:textId="46254900" w:rsidR="003B31ED" w:rsidRPr="00635A6A" w:rsidRDefault="00641AB2">
      <w:pPr>
        <w:pStyle w:val="Standard"/>
        <w:jc w:val="both"/>
      </w:pPr>
      <w:r w:rsidRPr="00635A6A">
        <w:rPr>
          <w:b/>
        </w:rPr>
        <w:t>Munkaadókat terhelő járulékok és szociális hozzájárulási adó (K2 rovat)</w:t>
      </w:r>
      <w:r w:rsidRPr="00635A6A">
        <w:t xml:space="preserve"> előirányzata</w:t>
      </w:r>
      <w:r w:rsidRPr="00635A6A">
        <w:rPr>
          <w:b/>
        </w:rPr>
        <w:t xml:space="preserve"> </w:t>
      </w:r>
      <w:r w:rsidR="00E54BE5" w:rsidRPr="00635A6A">
        <w:rPr>
          <w:b/>
        </w:rPr>
        <w:t>59.780.095</w:t>
      </w:r>
      <w:r w:rsidRPr="00635A6A">
        <w:rPr>
          <w:b/>
        </w:rPr>
        <w:t xml:space="preserve"> Ft</w:t>
      </w:r>
      <w:r w:rsidRPr="00635A6A">
        <w:t>, amely a személyi juttatásokhoz igazodóan került betervezésre. A szociális hozzájárulási adó mértéke 13 %</w:t>
      </w:r>
      <w:r w:rsidR="00E54BE5" w:rsidRPr="00635A6A">
        <w:t>, a cafeteria juttatás után fizetendő adó mértéke 28 %.</w:t>
      </w:r>
    </w:p>
    <w:p w14:paraId="3D3A90B6" w14:textId="397C6DF2" w:rsidR="003B31ED" w:rsidRPr="00635A6A" w:rsidRDefault="00641AB2">
      <w:pPr>
        <w:pStyle w:val="Standard"/>
        <w:jc w:val="both"/>
      </w:pPr>
      <w:r w:rsidRPr="00635A6A">
        <w:rPr>
          <w:b/>
        </w:rPr>
        <w:t>Dologi kiadások (K3 rovat)</w:t>
      </w:r>
      <w:r w:rsidRPr="00635A6A">
        <w:t xml:space="preserve"> előirányzata </w:t>
      </w:r>
      <w:r w:rsidR="00E54BE5" w:rsidRPr="00635A6A">
        <w:rPr>
          <w:b/>
        </w:rPr>
        <w:t>54.994.482</w:t>
      </w:r>
      <w:r w:rsidRPr="00635A6A">
        <w:rPr>
          <w:b/>
        </w:rPr>
        <w:t xml:space="preserve"> Ft</w:t>
      </w:r>
      <w:r w:rsidRPr="00635A6A">
        <w:t>. Itt jelennek meg a működéshez elengedhetetlenül szükséges üzemeltetési, fenntartási, közszolgáltatási kiadások, továbbá a hivatal szakmai tevékenységének ellátásához kapcsolódó kiadások.</w:t>
      </w:r>
    </w:p>
    <w:p w14:paraId="0ACE702F" w14:textId="45D40900" w:rsidR="003B31ED" w:rsidRPr="00635A6A" w:rsidRDefault="00641AB2">
      <w:pPr>
        <w:pStyle w:val="Standard"/>
        <w:jc w:val="both"/>
      </w:pPr>
      <w:r w:rsidRPr="00635A6A">
        <w:t xml:space="preserve">A </w:t>
      </w:r>
      <w:r w:rsidRPr="00635A6A">
        <w:rPr>
          <w:b/>
          <w:bCs/>
        </w:rPr>
        <w:t>felhalmozási költségvetési kiadások</w:t>
      </w:r>
      <w:r w:rsidRPr="00635A6A">
        <w:t xml:space="preserve"> összege </w:t>
      </w:r>
      <w:r w:rsidR="00E54BE5" w:rsidRPr="00635A6A">
        <w:rPr>
          <w:b/>
        </w:rPr>
        <w:t>2.286</w:t>
      </w:r>
      <w:r w:rsidRPr="00635A6A">
        <w:rPr>
          <w:b/>
        </w:rPr>
        <w:t>.000 Ft</w:t>
      </w:r>
      <w:r w:rsidRPr="00635A6A">
        <w:t xml:space="preserve">, mely teljes egészében a </w:t>
      </w:r>
      <w:r w:rsidRPr="00635A6A">
        <w:rPr>
          <w:b/>
        </w:rPr>
        <w:t>Beruházások (K6 rovat)</w:t>
      </w:r>
      <w:r w:rsidRPr="00635A6A">
        <w:t xml:space="preserve"> kiemelt kiadási előirányzatból tevődik össze, kis és nagyértékű tárgyi eszközök</w:t>
      </w:r>
      <w:r w:rsidR="001607E0" w:rsidRPr="00635A6A">
        <w:t>, informatikai eszközök</w:t>
      </w:r>
      <w:r w:rsidR="00E54BE5" w:rsidRPr="00635A6A">
        <w:t>, irodabútorok</w:t>
      </w:r>
      <w:r w:rsidRPr="00635A6A">
        <w:t xml:space="preserve"> beszerzésére nyújt fedezetet (a rendelet 9. melléklete).</w:t>
      </w:r>
    </w:p>
    <w:p w14:paraId="2CB27B4A" w14:textId="77777777" w:rsidR="003B31ED" w:rsidRPr="00635A6A" w:rsidRDefault="00641AB2">
      <w:pPr>
        <w:pStyle w:val="Standard"/>
        <w:jc w:val="both"/>
      </w:pPr>
      <w:r w:rsidRPr="00635A6A">
        <w:t>Az önkormányzati hivatal költségvetési mérlegét (bevételi előirányzatok és kiadási előirányzatok kiemelt előirányzatok szerinti bontásban) a rendelet 3. melléklete tartalmazza.</w:t>
      </w:r>
    </w:p>
    <w:p w14:paraId="563092E8" w14:textId="77777777" w:rsidR="003B31ED" w:rsidRPr="00635A6A" w:rsidRDefault="003B31ED">
      <w:pPr>
        <w:pStyle w:val="Standard"/>
        <w:jc w:val="both"/>
      </w:pPr>
    </w:p>
    <w:p w14:paraId="2080C3FF" w14:textId="77777777" w:rsidR="003B31ED" w:rsidRPr="00635A6A" w:rsidRDefault="00641AB2">
      <w:pPr>
        <w:pStyle w:val="Standard"/>
        <w:jc w:val="center"/>
      </w:pPr>
      <w:r w:rsidRPr="00635A6A">
        <w:rPr>
          <w:b/>
        </w:rPr>
        <w:t>3. Az önkormányzat és az önkormányzati hivatal</w:t>
      </w:r>
    </w:p>
    <w:p w14:paraId="06EBCED4" w14:textId="77777777" w:rsidR="003B31ED" w:rsidRPr="00635A6A" w:rsidRDefault="00641AB2">
      <w:pPr>
        <w:pStyle w:val="Standard"/>
        <w:jc w:val="center"/>
      </w:pPr>
      <w:r w:rsidRPr="00635A6A">
        <w:rPr>
          <w:b/>
        </w:rPr>
        <w:t>összevont költségvetése</w:t>
      </w:r>
    </w:p>
    <w:p w14:paraId="1F6A4F8B" w14:textId="77777777" w:rsidR="003B31ED" w:rsidRPr="00635A6A" w:rsidRDefault="003B31ED">
      <w:pPr>
        <w:pStyle w:val="Standard"/>
        <w:jc w:val="both"/>
        <w:rPr>
          <w:b/>
        </w:rPr>
      </w:pPr>
    </w:p>
    <w:p w14:paraId="4C7A47A2" w14:textId="77777777" w:rsidR="003B31ED" w:rsidRPr="00635A6A" w:rsidRDefault="00641AB2">
      <w:pPr>
        <w:pStyle w:val="Standard"/>
        <w:jc w:val="both"/>
      </w:pPr>
      <w:r w:rsidRPr="00635A6A">
        <w:t>Az önkormányzat összevont költségvetése együttesen (összevontan) tartalmazza az önkormányzat és az önkormányzati hivatal költségvetését, melyben az egymás közötti költségvetési kapcsolatok pénzügyi hatásai (irányító szervi támogatás - intézményfinanszírozás) „kiszűrésre kerülnek” (mint finanszírozási bevétel és kiadás), így az összevont költségvetés azokat nem tartalmazza.</w:t>
      </w:r>
    </w:p>
    <w:p w14:paraId="0A1AFE47" w14:textId="5A14B7D7" w:rsidR="003B31ED" w:rsidRPr="00635A6A" w:rsidRDefault="00641AB2">
      <w:pPr>
        <w:pStyle w:val="Standard"/>
        <w:jc w:val="both"/>
      </w:pPr>
      <w:r w:rsidRPr="00635A6A">
        <w:t>Az önkormányzat összevont 202</w:t>
      </w:r>
      <w:r w:rsidR="005149CA" w:rsidRPr="00635A6A">
        <w:t>5</w:t>
      </w:r>
      <w:r w:rsidRPr="00635A6A">
        <w:t xml:space="preserve">. évi összes bevétele </w:t>
      </w:r>
      <w:r w:rsidR="005149CA" w:rsidRPr="00635A6A">
        <w:rPr>
          <w:b/>
        </w:rPr>
        <w:t>2.951.707.313</w:t>
      </w:r>
      <w:r w:rsidRPr="00635A6A">
        <w:rPr>
          <w:b/>
        </w:rPr>
        <w:t xml:space="preserve"> Ft</w:t>
      </w:r>
      <w:r w:rsidRPr="00635A6A">
        <w:t xml:space="preserve">, amelyből a költségvetési bevételek összege </w:t>
      </w:r>
      <w:r w:rsidR="005149CA" w:rsidRPr="00635A6A">
        <w:rPr>
          <w:b/>
        </w:rPr>
        <w:t>1.166.104.529</w:t>
      </w:r>
      <w:r w:rsidRPr="00635A6A">
        <w:rPr>
          <w:b/>
        </w:rPr>
        <w:t xml:space="preserve"> Ft</w:t>
      </w:r>
      <w:r w:rsidRPr="00635A6A">
        <w:t xml:space="preserve">, míg a finanszírozási bevételek összege </w:t>
      </w:r>
      <w:r w:rsidR="005149CA" w:rsidRPr="00635A6A">
        <w:rPr>
          <w:b/>
        </w:rPr>
        <w:t>1.785.602.784</w:t>
      </w:r>
      <w:r w:rsidRPr="00635A6A">
        <w:rPr>
          <w:b/>
        </w:rPr>
        <w:t xml:space="preserve"> Ft</w:t>
      </w:r>
      <w:r w:rsidRPr="00635A6A">
        <w:t>. A költségvetési bevételek</w:t>
      </w:r>
      <w:r w:rsidR="00703C7D" w:rsidRPr="00635A6A">
        <w:t xml:space="preserve">en belül </w:t>
      </w:r>
      <w:r w:rsidR="005149CA" w:rsidRPr="00635A6A">
        <w:rPr>
          <w:b/>
          <w:bCs/>
        </w:rPr>
        <w:t>853.247.612</w:t>
      </w:r>
      <w:r w:rsidR="00703C7D" w:rsidRPr="00635A6A">
        <w:rPr>
          <w:b/>
          <w:bCs/>
        </w:rPr>
        <w:t xml:space="preserve"> Ft</w:t>
      </w:r>
      <w:r w:rsidR="00703C7D" w:rsidRPr="00635A6A">
        <w:t xml:space="preserve"> a</w:t>
      </w:r>
      <w:r w:rsidRPr="00635A6A">
        <w:t xml:space="preserve"> működési</w:t>
      </w:r>
      <w:r w:rsidR="00703C7D" w:rsidRPr="00635A6A">
        <w:t xml:space="preserve">, </w:t>
      </w:r>
      <w:r w:rsidR="005149CA" w:rsidRPr="00635A6A">
        <w:rPr>
          <w:b/>
          <w:bCs/>
        </w:rPr>
        <w:t>312.856.917</w:t>
      </w:r>
      <w:r w:rsidR="00703C7D" w:rsidRPr="00635A6A">
        <w:rPr>
          <w:b/>
          <w:bCs/>
        </w:rPr>
        <w:t xml:space="preserve"> Ft</w:t>
      </w:r>
      <w:r w:rsidR="00703C7D" w:rsidRPr="00635A6A">
        <w:t xml:space="preserve"> a felhalmozási</w:t>
      </w:r>
      <w:r w:rsidRPr="00635A6A">
        <w:t xml:space="preserve"> költségvetési bevétel.</w:t>
      </w:r>
    </w:p>
    <w:p w14:paraId="489996E6" w14:textId="6C1F9AE3" w:rsidR="003B31ED" w:rsidRPr="00635A6A" w:rsidRDefault="00641AB2">
      <w:pPr>
        <w:pStyle w:val="Standard"/>
        <w:jc w:val="both"/>
      </w:pPr>
      <w:r w:rsidRPr="00635A6A">
        <w:t>Az önkormányzat összevont 202</w:t>
      </w:r>
      <w:r w:rsidR="005149CA" w:rsidRPr="00635A6A">
        <w:t>5</w:t>
      </w:r>
      <w:r w:rsidRPr="00635A6A">
        <w:t xml:space="preserve">. évi összes kiadása – a bevétellel megegyezően – </w:t>
      </w:r>
      <w:r w:rsidR="005149CA" w:rsidRPr="00635A6A">
        <w:rPr>
          <w:b/>
        </w:rPr>
        <w:t>2.951.707.313</w:t>
      </w:r>
      <w:r w:rsidRPr="00635A6A">
        <w:rPr>
          <w:b/>
        </w:rPr>
        <w:t xml:space="preserve"> Ft</w:t>
      </w:r>
      <w:r w:rsidRPr="00635A6A">
        <w:t xml:space="preserve">, melyből a költségvetési kiadások összege </w:t>
      </w:r>
      <w:r w:rsidR="005149CA" w:rsidRPr="00635A6A">
        <w:rPr>
          <w:b/>
        </w:rPr>
        <w:t>2.936.083.313</w:t>
      </w:r>
      <w:r w:rsidRPr="00635A6A">
        <w:rPr>
          <w:b/>
        </w:rPr>
        <w:t xml:space="preserve"> Ft</w:t>
      </w:r>
      <w:r w:rsidRPr="00635A6A">
        <w:t xml:space="preserve">, míg </w:t>
      </w:r>
      <w:r w:rsidRPr="00635A6A">
        <w:rPr>
          <w:b/>
        </w:rPr>
        <w:t>1</w:t>
      </w:r>
      <w:r w:rsidR="005149CA" w:rsidRPr="00635A6A">
        <w:rPr>
          <w:b/>
        </w:rPr>
        <w:t>5.624</w:t>
      </w:r>
      <w:r w:rsidRPr="00635A6A">
        <w:rPr>
          <w:b/>
        </w:rPr>
        <w:t>.000 Ft</w:t>
      </w:r>
      <w:r w:rsidRPr="00635A6A">
        <w:t xml:space="preserve"> a finanszírozási kiadások összege. A költségvetési kiadások összegéből </w:t>
      </w:r>
      <w:r w:rsidR="005149CA" w:rsidRPr="00635A6A">
        <w:rPr>
          <w:b/>
        </w:rPr>
        <w:t>2.499.004.464</w:t>
      </w:r>
      <w:r w:rsidRPr="00635A6A">
        <w:rPr>
          <w:b/>
        </w:rPr>
        <w:t xml:space="preserve"> Ft</w:t>
      </w:r>
      <w:r w:rsidRPr="00635A6A">
        <w:t xml:space="preserve"> a működési célú, </w:t>
      </w:r>
      <w:r w:rsidR="005149CA" w:rsidRPr="00635A6A">
        <w:rPr>
          <w:b/>
        </w:rPr>
        <w:t>437.078.849</w:t>
      </w:r>
      <w:r w:rsidRPr="00635A6A">
        <w:rPr>
          <w:b/>
        </w:rPr>
        <w:t xml:space="preserve"> Ft</w:t>
      </w:r>
      <w:r w:rsidRPr="00635A6A">
        <w:t xml:space="preserve"> a felhalmozási célú előirányzat.</w:t>
      </w:r>
    </w:p>
    <w:p w14:paraId="473EDCBB" w14:textId="47B35C58" w:rsidR="003B31ED" w:rsidRPr="00635A6A" w:rsidRDefault="00641AB2">
      <w:pPr>
        <w:pStyle w:val="Standard"/>
        <w:jc w:val="both"/>
      </w:pPr>
      <w:r w:rsidRPr="00635A6A">
        <w:t>Az önkormányzat összevont költségvetési mérlegét (bevételi előirányzatok és kiadási előirányzatok kiemelt előirányzatok szerinti bontásban) a rendelet 1. melléklete mutatja be.</w:t>
      </w:r>
    </w:p>
    <w:p w14:paraId="46EA792E" w14:textId="77777777" w:rsidR="00703C7D" w:rsidRPr="00635A6A" w:rsidRDefault="00703C7D">
      <w:pPr>
        <w:pStyle w:val="Standard"/>
        <w:jc w:val="both"/>
      </w:pPr>
    </w:p>
    <w:p w14:paraId="51A6D058" w14:textId="4861D2C6" w:rsidR="003B31ED" w:rsidRPr="00635A6A" w:rsidRDefault="00641AB2">
      <w:pPr>
        <w:pStyle w:val="Standard"/>
        <w:jc w:val="both"/>
        <w:rPr>
          <w:bCs/>
          <w:iCs/>
        </w:rPr>
      </w:pPr>
      <w:r w:rsidRPr="00635A6A">
        <w:rPr>
          <w:bCs/>
          <w:iCs/>
        </w:rPr>
        <w:t>Összegzésként megállapítható, hogy mind az önkormányzat, mind az önkormányzati hivatal 202</w:t>
      </w:r>
      <w:r w:rsidR="005149CA" w:rsidRPr="00635A6A">
        <w:rPr>
          <w:bCs/>
          <w:iCs/>
        </w:rPr>
        <w:t>5</w:t>
      </w:r>
      <w:r w:rsidRPr="00635A6A">
        <w:rPr>
          <w:bCs/>
          <w:iCs/>
        </w:rPr>
        <w:t xml:space="preserve">. évi költségvetésének bevételi és kiadási oldala egyensúlyban van, külső finanszírozású </w:t>
      </w:r>
      <w:r w:rsidRPr="00635A6A">
        <w:rPr>
          <w:bCs/>
          <w:iCs/>
        </w:rPr>
        <w:lastRenderedPageBreak/>
        <w:t>hiányt nem tartalmaz, és ilyen jellegű finanszírozási műveletre a 202</w:t>
      </w:r>
      <w:r w:rsidR="005149CA" w:rsidRPr="00635A6A">
        <w:rPr>
          <w:bCs/>
          <w:iCs/>
        </w:rPr>
        <w:t>5</w:t>
      </w:r>
      <w:r w:rsidRPr="00635A6A">
        <w:rPr>
          <w:bCs/>
          <w:iCs/>
        </w:rPr>
        <w:t>. évi gazdálkodás végrehajtása során nagy valószínűséggel nem lesz szükség.</w:t>
      </w:r>
    </w:p>
    <w:p w14:paraId="0DF975A8" w14:textId="4795DE87" w:rsidR="007B0ABF" w:rsidRPr="00635A6A" w:rsidRDefault="00566B7F">
      <w:pPr>
        <w:pStyle w:val="Standard"/>
        <w:jc w:val="both"/>
      </w:pPr>
      <w:r w:rsidRPr="00635A6A">
        <w:t>Fontos kiemelni, hogy a 202</w:t>
      </w:r>
      <w:r w:rsidR="005149CA" w:rsidRPr="00635A6A">
        <w:t>5</w:t>
      </w:r>
      <w:r w:rsidR="007B0ABF" w:rsidRPr="00635A6A">
        <w:t xml:space="preserve">. évi költségvetés az előterjesztés készítésekor rendelkezésre álló adatok, információk, </w:t>
      </w:r>
      <w:r w:rsidR="003036EC" w:rsidRPr="00635A6A">
        <w:t>előrejelzések</w:t>
      </w:r>
      <w:r w:rsidR="007B0ABF" w:rsidRPr="00635A6A">
        <w:t xml:space="preserve"> alapján készült</w:t>
      </w:r>
      <w:r w:rsidRPr="00635A6A">
        <w:t>, és amennyiben 202</w:t>
      </w:r>
      <w:r w:rsidR="005149CA" w:rsidRPr="00635A6A">
        <w:t>5</w:t>
      </w:r>
      <w:r w:rsidR="003036EC" w:rsidRPr="00635A6A">
        <w:t xml:space="preserve">. évben nem merül fel további, jelentősebb kiadással járó </w:t>
      </w:r>
      <w:r w:rsidR="004E76BC" w:rsidRPr="00635A6A">
        <w:t xml:space="preserve">körülmény, úgy a </w:t>
      </w:r>
      <w:r w:rsidRPr="00635A6A">
        <w:t>202</w:t>
      </w:r>
      <w:r w:rsidR="005149CA" w:rsidRPr="00635A6A">
        <w:t>5</w:t>
      </w:r>
      <w:r w:rsidR="004E76BC" w:rsidRPr="00635A6A">
        <w:t>. évi költségvetés biztonságosan végrehajtható.</w:t>
      </w:r>
      <w:r w:rsidR="005149CA" w:rsidRPr="00635A6A">
        <w:t xml:space="preserve"> A 2025. évi költségvetés közel 86 % pályázati </w:t>
      </w:r>
      <w:r w:rsidR="00383C31" w:rsidRPr="00635A6A">
        <w:t>kiadásokhoz kapcsolódik, így a pályázati tevékenység szakszerű és hiba nélküli végrehajtása kiemelt fontosságú feladat, elkerülendő az önerőn felüli további saját forrás bevonása.</w:t>
      </w:r>
      <w:r w:rsidR="005149CA" w:rsidRPr="00635A6A">
        <w:t xml:space="preserve"> </w:t>
      </w:r>
      <w:r w:rsidR="00383C31" w:rsidRPr="00635A6A">
        <w:t>Az elmúlt évek pályázati megvalósításai megfelelő bizonyosságot adnak az előttünk álló feladatok szakszerű ellátásához, azonban a</w:t>
      </w:r>
      <w:r w:rsidR="00CD5EB9" w:rsidRPr="00635A6A">
        <w:t xml:space="preserve"> pályázati kiadások költségvetésen belüli magas részaránya egész évben kiemelt kockázatot jelent, amelyet folyamatosan monitoringozni szükséges</w:t>
      </w:r>
      <w:r w:rsidR="00635A6A" w:rsidRPr="00635A6A">
        <w:t xml:space="preserve"> a pályázati megvalósítás, valamint a költségvetés végrehajtása során.</w:t>
      </w:r>
      <w:r w:rsidR="00383C31" w:rsidRPr="00635A6A">
        <w:t xml:space="preserve"> </w:t>
      </w:r>
    </w:p>
    <w:p w14:paraId="272060B7" w14:textId="77777777" w:rsidR="004E76BC" w:rsidRPr="00635A6A" w:rsidRDefault="004E76BC">
      <w:pPr>
        <w:pStyle w:val="Standard"/>
        <w:jc w:val="both"/>
      </w:pPr>
    </w:p>
    <w:p w14:paraId="430302D6" w14:textId="400C8AC9" w:rsidR="003B31ED" w:rsidRPr="00635A6A" w:rsidRDefault="00641AB2">
      <w:pPr>
        <w:pStyle w:val="Standard"/>
        <w:jc w:val="both"/>
      </w:pPr>
      <w:r w:rsidRPr="00635A6A">
        <w:rPr>
          <w:bCs/>
          <w:iCs/>
        </w:rPr>
        <w:t xml:space="preserve">Kérem a közgyűlést, hogy Hajdú-Bihar </w:t>
      </w:r>
      <w:r w:rsidR="00703C7D" w:rsidRPr="00635A6A">
        <w:rPr>
          <w:bCs/>
          <w:iCs/>
        </w:rPr>
        <w:t>Várm</w:t>
      </w:r>
      <w:r w:rsidRPr="00635A6A">
        <w:rPr>
          <w:bCs/>
          <w:iCs/>
        </w:rPr>
        <w:t>egye Önkormányzat</w:t>
      </w:r>
      <w:r w:rsidR="00703C7D" w:rsidRPr="00635A6A">
        <w:rPr>
          <w:bCs/>
          <w:iCs/>
        </w:rPr>
        <w:t>a</w:t>
      </w:r>
      <w:r w:rsidRPr="00635A6A">
        <w:rPr>
          <w:bCs/>
          <w:iCs/>
        </w:rPr>
        <w:t xml:space="preserve"> 202</w:t>
      </w:r>
      <w:r w:rsidR="00754F07" w:rsidRPr="00635A6A">
        <w:rPr>
          <w:bCs/>
          <w:iCs/>
        </w:rPr>
        <w:t>5</w:t>
      </w:r>
      <w:r w:rsidRPr="00635A6A">
        <w:rPr>
          <w:bCs/>
          <w:iCs/>
        </w:rPr>
        <w:t>. évre vonatkozó költségvetését a rendelet-tervezet szerinti tartalommal fogadja el.</w:t>
      </w:r>
    </w:p>
    <w:p w14:paraId="6590A6DA" w14:textId="77777777" w:rsidR="003B31ED" w:rsidRPr="00635A6A" w:rsidRDefault="003B31ED">
      <w:pPr>
        <w:pStyle w:val="Standard"/>
        <w:jc w:val="both"/>
        <w:rPr>
          <w:bCs/>
          <w:iCs/>
        </w:rPr>
      </w:pPr>
    </w:p>
    <w:p w14:paraId="795DF499" w14:textId="77777777" w:rsidR="003B31ED" w:rsidRPr="00635A6A" w:rsidRDefault="00641AB2">
      <w:pPr>
        <w:pStyle w:val="Standard"/>
        <w:jc w:val="both"/>
      </w:pPr>
      <w:r w:rsidRPr="00635A6A">
        <w:rPr>
          <w:bCs/>
          <w:iCs/>
        </w:rPr>
        <w:t>Az előterjesztés egyben a rendelet-tervezet indokolása is.</w:t>
      </w:r>
    </w:p>
    <w:p w14:paraId="1BC4F230" w14:textId="77777777" w:rsidR="0092695D" w:rsidRPr="00635A6A" w:rsidRDefault="0092695D" w:rsidP="003F654F">
      <w:pPr>
        <w:pStyle w:val="Standard"/>
        <w:rPr>
          <w:b/>
        </w:rPr>
      </w:pPr>
    </w:p>
    <w:p w14:paraId="49E7A932" w14:textId="77777777" w:rsidR="00A96899" w:rsidRPr="00635A6A" w:rsidRDefault="00A96899">
      <w:pPr>
        <w:pStyle w:val="Standard"/>
        <w:jc w:val="center"/>
        <w:rPr>
          <w:b/>
        </w:rPr>
      </w:pPr>
    </w:p>
    <w:p w14:paraId="013D331D" w14:textId="77777777" w:rsidR="003B31ED" w:rsidRPr="00635A6A" w:rsidRDefault="00641AB2">
      <w:pPr>
        <w:pStyle w:val="Standard"/>
        <w:jc w:val="center"/>
      </w:pPr>
      <w:r w:rsidRPr="00635A6A">
        <w:rPr>
          <w:b/>
        </w:rPr>
        <w:t>Előzetes hatásvizsgálat</w:t>
      </w:r>
    </w:p>
    <w:p w14:paraId="23DE7D5C" w14:textId="77777777" w:rsidR="003B31ED" w:rsidRPr="00635A6A" w:rsidRDefault="00641AB2">
      <w:pPr>
        <w:pStyle w:val="Standard"/>
        <w:jc w:val="center"/>
      </w:pPr>
      <w:r w:rsidRPr="00635A6A">
        <w:t>a jogalkotásról szóló 2010. évi CXXX. törvény 17. § (1) bekezdése alapján</w:t>
      </w:r>
    </w:p>
    <w:p w14:paraId="297BF124" w14:textId="5CC7366B" w:rsidR="003B31ED" w:rsidRPr="00635A6A" w:rsidRDefault="00CD2399">
      <w:pPr>
        <w:pStyle w:val="Standard"/>
        <w:jc w:val="center"/>
      </w:pPr>
      <w:r w:rsidRPr="00635A6A">
        <w:t xml:space="preserve">a </w:t>
      </w:r>
      <w:r w:rsidRPr="00635A6A">
        <w:rPr>
          <w:bCs/>
        </w:rPr>
        <w:t>Hajdú-B</w:t>
      </w:r>
      <w:r w:rsidR="000F6545" w:rsidRPr="00635A6A">
        <w:rPr>
          <w:bCs/>
        </w:rPr>
        <w:t>ihar Vármegye Önkormányzata 202</w:t>
      </w:r>
      <w:r w:rsidR="00754F07" w:rsidRPr="00635A6A">
        <w:rPr>
          <w:bCs/>
        </w:rPr>
        <w:t>5</w:t>
      </w:r>
      <w:r w:rsidRPr="00635A6A">
        <w:rPr>
          <w:bCs/>
        </w:rPr>
        <w:t xml:space="preserve">. évi költségvetéséről </w:t>
      </w:r>
      <w:r w:rsidRPr="00635A6A">
        <w:t>szóló</w:t>
      </w:r>
    </w:p>
    <w:p w14:paraId="12DEB255" w14:textId="77732A01" w:rsidR="003B31ED" w:rsidRPr="00635A6A" w:rsidRDefault="00641AB2">
      <w:pPr>
        <w:pStyle w:val="Standard"/>
        <w:jc w:val="center"/>
      </w:pPr>
      <w:r w:rsidRPr="00635A6A">
        <w:t>…../202</w:t>
      </w:r>
      <w:r w:rsidR="00754F07" w:rsidRPr="00635A6A">
        <w:t>5</w:t>
      </w:r>
      <w:r w:rsidRPr="00635A6A">
        <w:t>. (……) önkormányzati rendelet-tervezethez</w:t>
      </w:r>
    </w:p>
    <w:p w14:paraId="046C2436" w14:textId="77777777" w:rsidR="003B31ED" w:rsidRPr="00635A6A" w:rsidRDefault="003B31ED">
      <w:pPr>
        <w:pStyle w:val="Standard"/>
        <w:jc w:val="both"/>
        <w:rPr>
          <w:i/>
        </w:rPr>
      </w:pPr>
    </w:p>
    <w:tbl>
      <w:tblPr>
        <w:tblW w:w="8920" w:type="dxa"/>
        <w:tblLayout w:type="fixed"/>
        <w:tblCellMar>
          <w:left w:w="10" w:type="dxa"/>
          <w:right w:w="10" w:type="dxa"/>
        </w:tblCellMar>
        <w:tblLook w:val="0000" w:firstRow="0" w:lastRow="0" w:firstColumn="0" w:lastColumn="0" w:noHBand="0" w:noVBand="0"/>
      </w:tblPr>
      <w:tblGrid>
        <w:gridCol w:w="4450"/>
        <w:gridCol w:w="4470"/>
      </w:tblGrid>
      <w:tr w:rsidR="003B31ED" w:rsidRPr="00635A6A" w14:paraId="4F950A14" w14:textId="77777777">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5E5B9" w14:textId="77777777" w:rsidR="003B31ED" w:rsidRPr="00635A6A" w:rsidRDefault="00641AB2">
            <w:pPr>
              <w:pStyle w:val="Standard"/>
              <w:jc w:val="both"/>
            </w:pPr>
            <w:r w:rsidRPr="00635A6A">
              <w:rPr>
                <w:b/>
              </w:rPr>
              <w:t>Társadalmi hatás:</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AD1F2" w14:textId="77777777" w:rsidR="003B31ED" w:rsidRPr="00635A6A" w:rsidRDefault="00641AB2">
            <w:pPr>
              <w:pStyle w:val="Standard"/>
              <w:jc w:val="both"/>
            </w:pPr>
            <w:r w:rsidRPr="00635A6A">
              <w:t>Az SZMSZ 23. § (2) bekezdésének a) pontja értelmében a költségvetésről és annak módosításáról szóló rendelet-tervezetet nem kell társadalmi egyeztetésre bocsátani. A tervezet a szakmai véleményező szervek (gazdasági kamarák) részére véleményezésre megküldésre került.</w:t>
            </w:r>
          </w:p>
        </w:tc>
      </w:tr>
      <w:tr w:rsidR="003B31ED" w:rsidRPr="00635A6A" w14:paraId="1FE1678C" w14:textId="77777777">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080F3" w14:textId="77777777" w:rsidR="003B31ED" w:rsidRPr="00635A6A" w:rsidRDefault="00641AB2">
            <w:pPr>
              <w:pStyle w:val="Standard"/>
              <w:jc w:val="both"/>
            </w:pPr>
            <w:r w:rsidRPr="00635A6A">
              <w:rPr>
                <w:b/>
              </w:rPr>
              <w:t>Gazdasági hatás:</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FC265" w14:textId="0220FBA0" w:rsidR="003B31ED" w:rsidRPr="00635A6A" w:rsidRDefault="00641AB2">
            <w:pPr>
              <w:pStyle w:val="Standard"/>
              <w:jc w:val="both"/>
            </w:pPr>
            <w:r w:rsidRPr="00635A6A">
              <w:t>A rendelet-tervezet szabályozza az Önkormányzat 202</w:t>
            </w:r>
            <w:r w:rsidR="00754F07" w:rsidRPr="00635A6A">
              <w:t>5</w:t>
            </w:r>
            <w:r w:rsidRPr="00635A6A">
              <w:t>. évi gazdálkodásának alapjait.</w:t>
            </w:r>
          </w:p>
        </w:tc>
      </w:tr>
      <w:tr w:rsidR="003B31ED" w:rsidRPr="00635A6A" w14:paraId="056E89EF" w14:textId="77777777">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E2AF2" w14:textId="77777777" w:rsidR="003B31ED" w:rsidRPr="00635A6A" w:rsidRDefault="00641AB2">
            <w:pPr>
              <w:pStyle w:val="Standard"/>
              <w:jc w:val="both"/>
            </w:pPr>
            <w:r w:rsidRPr="00635A6A">
              <w:rPr>
                <w:b/>
              </w:rPr>
              <w:t>Költségvetési hatás:</w:t>
            </w:r>
          </w:p>
          <w:p w14:paraId="42D24B86" w14:textId="77777777" w:rsidR="003B31ED" w:rsidRPr="00635A6A" w:rsidRDefault="003B31ED">
            <w:pPr>
              <w:pStyle w:val="Standard"/>
              <w:jc w:val="both"/>
            </w:pP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823B5" w14:textId="4419CDD5" w:rsidR="003B31ED" w:rsidRPr="00635A6A" w:rsidRDefault="00641AB2">
            <w:pPr>
              <w:pStyle w:val="Standard"/>
              <w:jc w:val="both"/>
            </w:pPr>
            <w:r w:rsidRPr="00635A6A">
              <w:t xml:space="preserve">A rendelet-tervezetben szereplő bevételek a központi költségvetésből Hajdú-Bihar </w:t>
            </w:r>
            <w:r w:rsidR="00334C0C" w:rsidRPr="00635A6A">
              <w:t>Várm</w:t>
            </w:r>
            <w:r w:rsidRPr="00635A6A">
              <w:t>egye Önkormányzat</w:t>
            </w:r>
            <w:r w:rsidR="00334C0C" w:rsidRPr="00635A6A">
              <w:t>a</w:t>
            </w:r>
            <w:r w:rsidRPr="00635A6A">
              <w:t xml:space="preserve"> részére biztosított 202</w:t>
            </w:r>
            <w:r w:rsidR="00754F07" w:rsidRPr="00635A6A">
              <w:t>5</w:t>
            </w:r>
            <w:r w:rsidRPr="00635A6A">
              <w:t>. évi támogatást, uniós pályázatokból származó bevételeket, maradvány igénybevételt tartalmazzák, amelyek figyelembevételével kerültek meghatározásra a kiadási előirányzatok és került benyújtásra a 202</w:t>
            </w:r>
            <w:r w:rsidR="00754F07" w:rsidRPr="00635A6A">
              <w:t>5</w:t>
            </w:r>
            <w:r w:rsidRPr="00635A6A">
              <w:t>. évi költségvetés, mely biztosítja az önkormányzat 202</w:t>
            </w:r>
            <w:r w:rsidR="00754F07" w:rsidRPr="00635A6A">
              <w:t>5</w:t>
            </w:r>
            <w:r w:rsidRPr="00635A6A">
              <w:t>. évi feladatellátását.</w:t>
            </w:r>
          </w:p>
        </w:tc>
      </w:tr>
      <w:tr w:rsidR="003B31ED" w:rsidRPr="00635A6A" w14:paraId="72C3C603" w14:textId="77777777">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E4B9F" w14:textId="77777777" w:rsidR="003B31ED" w:rsidRPr="00635A6A" w:rsidRDefault="00641AB2">
            <w:pPr>
              <w:pStyle w:val="Standard"/>
              <w:jc w:val="both"/>
            </w:pPr>
            <w:r w:rsidRPr="00635A6A">
              <w:rPr>
                <w:b/>
              </w:rPr>
              <w:t>Környezeti, egészségi következmény:</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7FCA3" w14:textId="77777777" w:rsidR="003B31ED" w:rsidRPr="00635A6A" w:rsidRDefault="00641AB2">
            <w:pPr>
              <w:pStyle w:val="Standard"/>
              <w:jc w:val="both"/>
            </w:pPr>
            <w:r w:rsidRPr="00635A6A">
              <w:t>Nem releváns.</w:t>
            </w:r>
          </w:p>
        </w:tc>
      </w:tr>
      <w:tr w:rsidR="003B31ED" w:rsidRPr="00635A6A" w14:paraId="6F8EC797" w14:textId="77777777">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06842" w14:textId="77777777" w:rsidR="003B31ED" w:rsidRPr="00635A6A" w:rsidRDefault="00641AB2">
            <w:pPr>
              <w:pStyle w:val="Standard"/>
              <w:jc w:val="both"/>
            </w:pPr>
            <w:r w:rsidRPr="00635A6A">
              <w:rPr>
                <w:b/>
              </w:rPr>
              <w:t>Adminisztratív terheket befolyásoló hatás:</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C9FE4" w14:textId="77777777" w:rsidR="003B31ED" w:rsidRPr="00635A6A" w:rsidRDefault="00641AB2">
            <w:pPr>
              <w:pStyle w:val="Standard"/>
              <w:jc w:val="both"/>
            </w:pPr>
            <w:r w:rsidRPr="00635A6A">
              <w:t>Nem releváns.</w:t>
            </w:r>
          </w:p>
        </w:tc>
      </w:tr>
      <w:tr w:rsidR="003B31ED" w:rsidRPr="00635A6A" w14:paraId="229C499C" w14:textId="77777777">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BDCEC" w14:textId="77777777" w:rsidR="003B31ED" w:rsidRPr="00635A6A" w:rsidRDefault="00641AB2">
            <w:pPr>
              <w:pStyle w:val="Standard"/>
              <w:jc w:val="both"/>
            </w:pPr>
            <w:r w:rsidRPr="00635A6A">
              <w:rPr>
                <w:b/>
              </w:rPr>
              <w:t>Egyéb hatás:</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72752" w14:textId="77777777" w:rsidR="003B31ED" w:rsidRPr="00635A6A" w:rsidRDefault="00641AB2">
            <w:pPr>
              <w:pStyle w:val="Standard"/>
              <w:jc w:val="both"/>
            </w:pPr>
            <w:r w:rsidRPr="00635A6A">
              <w:t>Nem releváns.</w:t>
            </w:r>
          </w:p>
        </w:tc>
      </w:tr>
      <w:tr w:rsidR="003B31ED" w:rsidRPr="00635A6A" w14:paraId="1E628F29" w14:textId="77777777">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0B0D3" w14:textId="77777777" w:rsidR="003B31ED" w:rsidRPr="00635A6A" w:rsidRDefault="00641AB2">
            <w:pPr>
              <w:pStyle w:val="Standard"/>
              <w:jc w:val="both"/>
            </w:pPr>
            <w:r w:rsidRPr="00635A6A">
              <w:rPr>
                <w:b/>
              </w:rPr>
              <w:t>Megalkotás szükségessége:</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C6F9C" w14:textId="19A73FB2" w:rsidR="003B31ED" w:rsidRPr="00635A6A" w:rsidRDefault="00641AB2">
            <w:pPr>
              <w:pStyle w:val="Standard"/>
              <w:jc w:val="both"/>
            </w:pPr>
            <w:r w:rsidRPr="00635A6A">
              <w:t xml:space="preserve">Jogszabályi előírás alapján, Hajdú-Bihar </w:t>
            </w:r>
            <w:r w:rsidR="00CD2399" w:rsidRPr="00635A6A">
              <w:t>Várm</w:t>
            </w:r>
            <w:r w:rsidRPr="00635A6A">
              <w:t>egye Önkormányzat</w:t>
            </w:r>
            <w:r w:rsidR="00CD2399" w:rsidRPr="00635A6A">
              <w:t>a</w:t>
            </w:r>
            <w:r w:rsidRPr="00635A6A">
              <w:t xml:space="preserve"> 202</w:t>
            </w:r>
            <w:r w:rsidR="00754F07" w:rsidRPr="00635A6A">
              <w:t>5</w:t>
            </w:r>
            <w:r w:rsidRPr="00635A6A">
              <w:t xml:space="preserve">. évi gazdálkodási feltételeinek megteremtése és </w:t>
            </w:r>
            <w:r w:rsidRPr="00635A6A">
              <w:lastRenderedPageBreak/>
              <w:t>szabályozása a folyamatos feladatellátás érdekében.</w:t>
            </w:r>
          </w:p>
        </w:tc>
      </w:tr>
      <w:tr w:rsidR="003B31ED" w:rsidRPr="00635A6A" w14:paraId="7C303B9E" w14:textId="77777777">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AE96B" w14:textId="77777777" w:rsidR="003B31ED" w:rsidRPr="00635A6A" w:rsidRDefault="00641AB2">
            <w:pPr>
              <w:pStyle w:val="Standard"/>
              <w:jc w:val="both"/>
            </w:pPr>
            <w:r w:rsidRPr="00635A6A">
              <w:rPr>
                <w:b/>
              </w:rPr>
              <w:lastRenderedPageBreak/>
              <w:t>Megalkotás elmaradása esetén várható következmény:</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97954" w14:textId="77777777" w:rsidR="003B31ED" w:rsidRPr="00635A6A" w:rsidRDefault="00641AB2">
            <w:pPr>
              <w:pStyle w:val="Standard"/>
              <w:jc w:val="both"/>
            </w:pPr>
            <w:r w:rsidRPr="00635A6A">
              <w:t>Jogszabályellenes gazdálkodás.</w:t>
            </w:r>
          </w:p>
        </w:tc>
      </w:tr>
      <w:tr w:rsidR="003B31ED" w:rsidRPr="00635A6A" w14:paraId="30FA979C" w14:textId="77777777">
        <w:tc>
          <w:tcPr>
            <w:tcW w:w="4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C0DC3" w14:textId="77777777" w:rsidR="003B31ED" w:rsidRPr="00635A6A" w:rsidRDefault="00641AB2">
            <w:pPr>
              <w:pStyle w:val="Standard"/>
              <w:jc w:val="both"/>
            </w:pPr>
            <w:r w:rsidRPr="00635A6A">
              <w:rPr>
                <w:b/>
              </w:rPr>
              <w:t>Alkalmazásához szükséges feltétel:</w:t>
            </w:r>
          </w:p>
          <w:p w14:paraId="0958EB4D" w14:textId="77777777" w:rsidR="003B31ED" w:rsidRPr="00635A6A" w:rsidRDefault="003B31ED">
            <w:pPr>
              <w:pStyle w:val="Standard"/>
              <w:jc w:val="both"/>
              <w:rPr>
                <w:b/>
              </w:rPr>
            </w:pP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7AD4F" w14:textId="77777777" w:rsidR="003B31ED" w:rsidRPr="00635A6A" w:rsidRDefault="00641AB2">
            <w:pPr>
              <w:pStyle w:val="Standard"/>
              <w:numPr>
                <w:ilvl w:val="0"/>
                <w:numId w:val="34"/>
              </w:numPr>
              <w:jc w:val="both"/>
            </w:pPr>
            <w:r w:rsidRPr="00635A6A">
              <w:rPr>
                <w:b/>
              </w:rPr>
              <w:t xml:space="preserve">személyi: </w:t>
            </w:r>
            <w:r w:rsidRPr="00635A6A">
              <w:rPr>
                <w:b/>
              </w:rPr>
              <w:tab/>
            </w:r>
            <w:r w:rsidRPr="00635A6A">
              <w:rPr>
                <w:b/>
              </w:rPr>
              <w:tab/>
            </w:r>
            <w:r w:rsidRPr="00635A6A">
              <w:t>biztosított</w:t>
            </w:r>
          </w:p>
          <w:p w14:paraId="5FD07C59" w14:textId="77777777" w:rsidR="003B31ED" w:rsidRPr="00635A6A" w:rsidRDefault="00641AB2">
            <w:pPr>
              <w:pStyle w:val="Standard"/>
              <w:numPr>
                <w:ilvl w:val="0"/>
                <w:numId w:val="8"/>
              </w:numPr>
              <w:jc w:val="both"/>
            </w:pPr>
            <w:r w:rsidRPr="00635A6A">
              <w:rPr>
                <w:b/>
              </w:rPr>
              <w:t xml:space="preserve">szervezeti: </w:t>
            </w:r>
            <w:r w:rsidRPr="00635A6A">
              <w:rPr>
                <w:b/>
              </w:rPr>
              <w:tab/>
            </w:r>
            <w:r w:rsidRPr="00635A6A">
              <w:t>biztosított</w:t>
            </w:r>
          </w:p>
          <w:p w14:paraId="5C3F5B91" w14:textId="77777777" w:rsidR="003B31ED" w:rsidRPr="00635A6A" w:rsidRDefault="00641AB2">
            <w:pPr>
              <w:pStyle w:val="Standard"/>
              <w:numPr>
                <w:ilvl w:val="0"/>
                <w:numId w:val="8"/>
              </w:numPr>
              <w:jc w:val="both"/>
            </w:pPr>
            <w:r w:rsidRPr="00635A6A">
              <w:rPr>
                <w:b/>
              </w:rPr>
              <w:t xml:space="preserve">tárgyi: </w:t>
            </w:r>
            <w:r w:rsidRPr="00635A6A">
              <w:rPr>
                <w:b/>
              </w:rPr>
              <w:tab/>
            </w:r>
            <w:r w:rsidRPr="00635A6A">
              <w:rPr>
                <w:b/>
              </w:rPr>
              <w:tab/>
            </w:r>
            <w:r w:rsidRPr="00635A6A">
              <w:t>biztosított</w:t>
            </w:r>
          </w:p>
          <w:p w14:paraId="05A89F79" w14:textId="77777777" w:rsidR="003B31ED" w:rsidRPr="00635A6A" w:rsidRDefault="00641AB2">
            <w:pPr>
              <w:pStyle w:val="Standard"/>
              <w:numPr>
                <w:ilvl w:val="0"/>
                <w:numId w:val="8"/>
              </w:numPr>
              <w:jc w:val="both"/>
            </w:pPr>
            <w:r w:rsidRPr="00635A6A">
              <w:rPr>
                <w:b/>
              </w:rPr>
              <w:t>pénzügyi:</w:t>
            </w:r>
            <w:r w:rsidRPr="00635A6A">
              <w:rPr>
                <w:b/>
              </w:rPr>
              <w:tab/>
            </w:r>
            <w:r w:rsidRPr="00635A6A">
              <w:rPr>
                <w:b/>
              </w:rPr>
              <w:tab/>
            </w:r>
            <w:r w:rsidRPr="00635A6A">
              <w:t>biztosított</w:t>
            </w:r>
          </w:p>
        </w:tc>
      </w:tr>
    </w:tbl>
    <w:p w14:paraId="18970D6C" w14:textId="77777777" w:rsidR="003B31ED" w:rsidRPr="00635A6A" w:rsidRDefault="003B31ED">
      <w:pPr>
        <w:pStyle w:val="Standard"/>
        <w:rPr>
          <w:b/>
        </w:rPr>
      </w:pPr>
    </w:p>
    <w:p w14:paraId="75EAA23A" w14:textId="77777777" w:rsidR="003B31ED" w:rsidRPr="00635A6A" w:rsidRDefault="003B31ED">
      <w:pPr>
        <w:pStyle w:val="Standard"/>
        <w:jc w:val="both"/>
      </w:pPr>
    </w:p>
    <w:p w14:paraId="455E7B8A" w14:textId="77777777" w:rsidR="003B31ED" w:rsidRPr="00635A6A" w:rsidRDefault="00641AB2">
      <w:pPr>
        <w:pStyle w:val="Standard"/>
        <w:jc w:val="center"/>
      </w:pPr>
      <w:r w:rsidRPr="00635A6A">
        <w:rPr>
          <w:b/>
        </w:rPr>
        <w:t>II.</w:t>
      </w:r>
    </w:p>
    <w:p w14:paraId="54B62955" w14:textId="77777777" w:rsidR="003B31ED" w:rsidRPr="00635A6A" w:rsidRDefault="00641AB2">
      <w:pPr>
        <w:pStyle w:val="Standard"/>
        <w:jc w:val="both"/>
      </w:pPr>
      <w:r w:rsidRPr="00635A6A">
        <w:t xml:space="preserve">Az Áht. 29/A. § alapján a helyi önkormányzat legkésőbb a költségvetési rendelet elfogadásáig határozatban állapítja meg a Magyarország gazdasági stabilitásáról szóló </w:t>
      </w:r>
      <w:r w:rsidRPr="00635A6A">
        <w:br/>
        <w:t>2011. évi CXCIV. törvény (továbbiakban Stabilitási törvény) 45. § (1) bekezdés a) pontjában kapott felhatalmazás alapján kiadott jogszabályban meghatározottak szerinti saját bevételeinek, valamint a Stabilitási törvény 8. § (2) bekezdése szerinti adósságot keletkeztető ügyleteiből eredő fizetési kötelezettségeinek a költségvetési évet követő három évre várható összegét.</w:t>
      </w:r>
    </w:p>
    <w:p w14:paraId="6B5C97AA" w14:textId="5323D181" w:rsidR="003B31ED" w:rsidRPr="00635A6A" w:rsidRDefault="00641AB2">
      <w:pPr>
        <w:pStyle w:val="Standard"/>
        <w:jc w:val="both"/>
      </w:pPr>
      <w:r w:rsidRPr="00635A6A">
        <w:t xml:space="preserve">Az adósságot keletkeztető ügyletekhez történő hozzájárulás részletes szabályairól szóló 353/2011. (XII. 30.) Korm. rendelet – a Stabilitási törvény végrehajtási rendelete – 2. § (1) bekezdése szerinti saját bevétellel Hajdú-Bihar </w:t>
      </w:r>
      <w:r w:rsidR="00CD2399" w:rsidRPr="00635A6A">
        <w:t>Várm</w:t>
      </w:r>
      <w:r w:rsidRPr="00635A6A">
        <w:t>egye Önkormányzat</w:t>
      </w:r>
      <w:r w:rsidR="00CD2399" w:rsidRPr="00635A6A">
        <w:t>a</w:t>
      </w:r>
      <w:r w:rsidRPr="00635A6A">
        <w:t xml:space="preserve"> a költségvetési évet követő három év vonatkozásában várhatóan nem fog rendelkezni.</w:t>
      </w:r>
    </w:p>
    <w:p w14:paraId="5A334347" w14:textId="2029364E" w:rsidR="003B31ED" w:rsidRPr="00635A6A" w:rsidRDefault="00641AB2">
      <w:pPr>
        <w:pStyle w:val="Standard"/>
        <w:jc w:val="both"/>
      </w:pPr>
      <w:r w:rsidRPr="00635A6A">
        <w:t xml:space="preserve">A Stabilitási törvény 8. § (2) bekezdése szerinti adósságot keletkeztető ügyleteket </w:t>
      </w:r>
      <w:r w:rsidRPr="00635A6A">
        <w:br/>
        <w:t xml:space="preserve">Hajdú-Bihar </w:t>
      </w:r>
      <w:r w:rsidR="00CD2399" w:rsidRPr="00635A6A">
        <w:t>Várm</w:t>
      </w:r>
      <w:r w:rsidRPr="00635A6A">
        <w:t>egye Önkormányzat</w:t>
      </w:r>
      <w:r w:rsidR="00CD2399" w:rsidRPr="00635A6A">
        <w:t>a</w:t>
      </w:r>
      <w:r w:rsidRPr="00635A6A">
        <w:t xml:space="preserve"> a költségvetési évet követő három évre vonatkozóan nem tervez, ebből eredő fizetési kötelezettsége tehát nem keletkezik.</w:t>
      </w:r>
    </w:p>
    <w:p w14:paraId="7BA8D1A2" w14:textId="77777777" w:rsidR="003B31ED" w:rsidRPr="00635A6A" w:rsidRDefault="003B31ED">
      <w:pPr>
        <w:pStyle w:val="Standard"/>
        <w:jc w:val="both"/>
      </w:pPr>
    </w:p>
    <w:p w14:paraId="167F21B3" w14:textId="77777777" w:rsidR="003B31ED" w:rsidRPr="00635A6A" w:rsidRDefault="00641AB2">
      <w:pPr>
        <w:pStyle w:val="Standard"/>
        <w:jc w:val="both"/>
      </w:pPr>
      <w:r w:rsidRPr="00635A6A">
        <w:t>Kérem a közgyűlést a rendelet-tervezet és a határozati javaslat elfogadására.</w:t>
      </w:r>
    </w:p>
    <w:p w14:paraId="263C8E98" w14:textId="77777777" w:rsidR="003B31ED" w:rsidRPr="00635A6A" w:rsidRDefault="003B31ED">
      <w:pPr>
        <w:pStyle w:val="Standard"/>
        <w:jc w:val="both"/>
      </w:pPr>
    </w:p>
    <w:p w14:paraId="7C372A64" w14:textId="77777777" w:rsidR="003B31ED" w:rsidRPr="00635A6A" w:rsidRDefault="00641AB2">
      <w:pPr>
        <w:pStyle w:val="Standard"/>
        <w:jc w:val="both"/>
      </w:pPr>
      <w:r w:rsidRPr="00635A6A">
        <w:rPr>
          <w:b/>
          <w:u w:val="single"/>
        </w:rPr>
        <w:t>HATÁROZATI JAVASLAT</w:t>
      </w:r>
    </w:p>
    <w:p w14:paraId="6B6241FA" w14:textId="77777777" w:rsidR="003B31ED" w:rsidRPr="00635A6A" w:rsidRDefault="003B31ED">
      <w:pPr>
        <w:pStyle w:val="Standard"/>
        <w:jc w:val="both"/>
        <w:rPr>
          <w:b/>
          <w:u w:val="single"/>
        </w:rPr>
      </w:pPr>
    </w:p>
    <w:p w14:paraId="3389F335" w14:textId="49EA7E55" w:rsidR="003B31ED" w:rsidRPr="00635A6A" w:rsidRDefault="00641AB2">
      <w:pPr>
        <w:pStyle w:val="Standard"/>
        <w:jc w:val="both"/>
      </w:pPr>
      <w:r w:rsidRPr="00635A6A">
        <w:t>Hajdú-Bihar</w:t>
      </w:r>
      <w:r w:rsidR="009979DC" w:rsidRPr="00635A6A">
        <w:t xml:space="preserve"> Vármegye Önkormányzata Közgyűlése </w:t>
      </w:r>
      <w:r w:rsidRPr="00635A6A">
        <w:t>az államháztartásról szóló 2011. évi CXCV. törvény 29/A. §-a alapján</w:t>
      </w:r>
    </w:p>
    <w:p w14:paraId="4E43F492" w14:textId="77777777" w:rsidR="003B31ED" w:rsidRPr="00635A6A" w:rsidRDefault="003B31ED">
      <w:pPr>
        <w:pStyle w:val="Standard"/>
        <w:jc w:val="both"/>
      </w:pPr>
    </w:p>
    <w:p w14:paraId="200A6759" w14:textId="7EE0C29C" w:rsidR="003B31ED" w:rsidRPr="00635A6A" w:rsidRDefault="00641AB2">
      <w:pPr>
        <w:pStyle w:val="Standard"/>
        <w:jc w:val="both"/>
      </w:pPr>
      <w:r w:rsidRPr="00635A6A">
        <w:t xml:space="preserve">1./ megállapítja, hogy Hajdú-Bihar </w:t>
      </w:r>
      <w:r w:rsidR="009979DC" w:rsidRPr="00635A6A">
        <w:t xml:space="preserve">Vármegye Önkormányzatának </w:t>
      </w:r>
      <w:r w:rsidR="00291A70" w:rsidRPr="00635A6A">
        <w:t>a 202</w:t>
      </w:r>
      <w:r w:rsidR="00EF7272" w:rsidRPr="00635A6A">
        <w:t>5</w:t>
      </w:r>
      <w:r w:rsidRPr="00635A6A">
        <w:t>. évi költségvetési évet követő három évben saját bevétele nem várható.</w:t>
      </w:r>
    </w:p>
    <w:p w14:paraId="4A2B80CC" w14:textId="77777777" w:rsidR="003B31ED" w:rsidRPr="00635A6A" w:rsidRDefault="003B31ED">
      <w:pPr>
        <w:pStyle w:val="Standard"/>
        <w:jc w:val="both"/>
      </w:pPr>
    </w:p>
    <w:p w14:paraId="01F8E62F" w14:textId="17229A24" w:rsidR="003B31ED" w:rsidRPr="00635A6A" w:rsidRDefault="00641AB2">
      <w:pPr>
        <w:pStyle w:val="Standard"/>
        <w:jc w:val="both"/>
      </w:pPr>
      <w:r w:rsidRPr="00635A6A">
        <w:t xml:space="preserve">2./ Megállapítja, hogy Hajdú-Bihar </w:t>
      </w:r>
      <w:r w:rsidR="009979DC" w:rsidRPr="00635A6A">
        <w:t xml:space="preserve">Vármegye Önkormányzatának </w:t>
      </w:r>
      <w:r w:rsidRPr="00635A6A">
        <w:t>a Magyarország gazdasági stabilitásáról szóló 2011. évi CXCIV. törvény 8. § (2) bekezdése szerinti adósságot keletkeztető ügyleteiből ered</w:t>
      </w:r>
      <w:r w:rsidR="00291A70" w:rsidRPr="00635A6A">
        <w:t>ő fizetési kötelezettsége a 202</w:t>
      </w:r>
      <w:r w:rsidR="007366BF" w:rsidRPr="00635A6A">
        <w:t>5</w:t>
      </w:r>
      <w:r w:rsidRPr="00635A6A">
        <w:t>. évi költségvetési évet követő három évben várhatóan nem keletkezik.</w:t>
      </w:r>
    </w:p>
    <w:p w14:paraId="44A344E8" w14:textId="77777777" w:rsidR="003B31ED" w:rsidRPr="00635A6A" w:rsidRDefault="003B31ED">
      <w:pPr>
        <w:pStyle w:val="Standard"/>
        <w:jc w:val="both"/>
      </w:pPr>
    </w:p>
    <w:p w14:paraId="46975C17" w14:textId="77777777" w:rsidR="003B31ED" w:rsidRPr="00635A6A" w:rsidRDefault="00641AB2">
      <w:pPr>
        <w:pStyle w:val="Standard"/>
        <w:jc w:val="both"/>
      </w:pPr>
      <w:r w:rsidRPr="00635A6A">
        <w:rPr>
          <w:b/>
        </w:rPr>
        <w:t>A határozati javaslat elfogadása egyszerű többséget igényel.</w:t>
      </w:r>
    </w:p>
    <w:p w14:paraId="37B4A6BD" w14:textId="77777777" w:rsidR="003B31ED" w:rsidRPr="00635A6A" w:rsidRDefault="003B31ED">
      <w:pPr>
        <w:pStyle w:val="Standard"/>
        <w:jc w:val="both"/>
      </w:pPr>
    </w:p>
    <w:p w14:paraId="07EDB59C" w14:textId="6028172A" w:rsidR="003B31ED" w:rsidRPr="00635A6A" w:rsidRDefault="000F6545">
      <w:pPr>
        <w:pStyle w:val="Standard"/>
        <w:shd w:val="clear" w:color="auto" w:fill="FFFFFF"/>
        <w:jc w:val="both"/>
        <w:rPr>
          <w:color w:val="FF0000"/>
        </w:rPr>
      </w:pPr>
      <w:r w:rsidRPr="00635A6A">
        <w:rPr>
          <w:b/>
        </w:rPr>
        <w:t>Debrecen, 202</w:t>
      </w:r>
      <w:r w:rsidR="007366BF" w:rsidRPr="00635A6A">
        <w:rPr>
          <w:b/>
        </w:rPr>
        <w:t>5</w:t>
      </w:r>
      <w:r w:rsidR="00641AB2" w:rsidRPr="00635A6A">
        <w:rPr>
          <w:b/>
        </w:rPr>
        <w:t>. február 1</w:t>
      </w:r>
      <w:r w:rsidR="007366BF" w:rsidRPr="00635A6A">
        <w:rPr>
          <w:b/>
        </w:rPr>
        <w:t>4</w:t>
      </w:r>
      <w:r w:rsidR="00641AB2" w:rsidRPr="00635A6A">
        <w:rPr>
          <w:b/>
        </w:rPr>
        <w:t>.</w:t>
      </w:r>
    </w:p>
    <w:p w14:paraId="455CE555" w14:textId="77777777" w:rsidR="003B31ED" w:rsidRPr="00635A6A" w:rsidRDefault="003B31ED">
      <w:pPr>
        <w:pStyle w:val="Standard"/>
        <w:jc w:val="both"/>
        <w:rPr>
          <w:b/>
        </w:rPr>
      </w:pPr>
    </w:p>
    <w:p w14:paraId="17D6C88B" w14:textId="77777777" w:rsidR="003B31ED" w:rsidRPr="00635A6A" w:rsidRDefault="00641AB2">
      <w:pPr>
        <w:pStyle w:val="Standard"/>
        <w:ind w:left="5664" w:firstLine="708"/>
        <w:jc w:val="center"/>
      </w:pPr>
      <w:r w:rsidRPr="00635A6A">
        <w:rPr>
          <w:b/>
        </w:rPr>
        <w:t>Pajna Zoltán</w:t>
      </w:r>
    </w:p>
    <w:p w14:paraId="25D84E18" w14:textId="77777777" w:rsidR="003B31ED" w:rsidRPr="00635A6A" w:rsidRDefault="00641AB2">
      <w:pPr>
        <w:pStyle w:val="Standard"/>
        <w:ind w:left="5664" w:firstLine="708"/>
        <w:jc w:val="center"/>
      </w:pPr>
      <w:r w:rsidRPr="00635A6A">
        <w:rPr>
          <w:b/>
        </w:rPr>
        <w:t xml:space="preserve"> elnök</w:t>
      </w:r>
    </w:p>
    <w:p w14:paraId="7638C123" w14:textId="77777777" w:rsidR="003B31ED" w:rsidRPr="00635A6A" w:rsidRDefault="00641AB2">
      <w:pPr>
        <w:pStyle w:val="Standard"/>
        <w:jc w:val="both"/>
      </w:pPr>
      <w:r w:rsidRPr="00635A6A">
        <w:t>Az előterjesztés a törvényességi követelményeknek megfelel:</w:t>
      </w:r>
    </w:p>
    <w:p w14:paraId="7A56546C" w14:textId="77777777" w:rsidR="003B31ED" w:rsidRPr="00635A6A" w:rsidRDefault="003B31ED">
      <w:pPr>
        <w:pStyle w:val="Standard"/>
        <w:jc w:val="both"/>
      </w:pPr>
    </w:p>
    <w:p w14:paraId="5CF1A50D" w14:textId="77777777" w:rsidR="003B31ED" w:rsidRPr="00635A6A" w:rsidRDefault="003B31ED">
      <w:pPr>
        <w:pStyle w:val="Standard"/>
        <w:jc w:val="both"/>
      </w:pPr>
    </w:p>
    <w:p w14:paraId="3D55BA44" w14:textId="77777777" w:rsidR="003B31ED" w:rsidRPr="00635A6A" w:rsidRDefault="00641AB2">
      <w:pPr>
        <w:pStyle w:val="Standard"/>
        <w:jc w:val="both"/>
      </w:pPr>
      <w:r w:rsidRPr="00635A6A">
        <w:t>Dr. Dobi Csaba</w:t>
      </w:r>
    </w:p>
    <w:p w14:paraId="1CD794AD" w14:textId="77777777" w:rsidR="003B31ED" w:rsidRPr="00635A6A" w:rsidRDefault="00641AB2">
      <w:pPr>
        <w:pStyle w:val="Standard"/>
        <w:jc w:val="both"/>
      </w:pPr>
      <w:r w:rsidRPr="00635A6A">
        <w:t xml:space="preserve">       jegyző</w:t>
      </w:r>
    </w:p>
    <w:p w14:paraId="370CDB7E" w14:textId="6CCE9E18" w:rsidR="003B31ED" w:rsidRPr="00635A6A" w:rsidRDefault="00392BD1">
      <w:pPr>
        <w:pStyle w:val="Norml1"/>
        <w:jc w:val="center"/>
        <w:rPr>
          <w:b/>
          <w:bCs/>
        </w:rPr>
      </w:pPr>
      <w:r w:rsidRPr="00635A6A">
        <w:rPr>
          <w:b/>
          <w:bCs/>
        </w:rPr>
        <w:lastRenderedPageBreak/>
        <w:t>Hajdú-Bihar Vármegye Önkormányzat</w:t>
      </w:r>
      <w:r w:rsidR="001D1055" w:rsidRPr="00635A6A">
        <w:rPr>
          <w:b/>
          <w:bCs/>
        </w:rPr>
        <w:t>a</w:t>
      </w:r>
      <w:r w:rsidRPr="00635A6A">
        <w:rPr>
          <w:b/>
          <w:bCs/>
        </w:rPr>
        <w:t xml:space="preserve"> Közgyűlés</w:t>
      </w:r>
      <w:r w:rsidR="001D1055" w:rsidRPr="00635A6A">
        <w:rPr>
          <w:b/>
          <w:bCs/>
        </w:rPr>
        <w:t>én</w:t>
      </w:r>
      <w:r w:rsidRPr="00635A6A">
        <w:rPr>
          <w:b/>
          <w:bCs/>
        </w:rPr>
        <w:t>e</w:t>
      </w:r>
      <w:r w:rsidR="001D1055" w:rsidRPr="00635A6A">
        <w:rPr>
          <w:b/>
          <w:bCs/>
        </w:rPr>
        <w:t>k</w:t>
      </w:r>
    </w:p>
    <w:p w14:paraId="5058681B" w14:textId="3E9AD22C" w:rsidR="00392BD1" w:rsidRPr="00635A6A" w:rsidRDefault="00291A70">
      <w:pPr>
        <w:pStyle w:val="Norml1"/>
        <w:jc w:val="center"/>
        <w:rPr>
          <w:b/>
          <w:bCs/>
        </w:rPr>
      </w:pPr>
      <w:r w:rsidRPr="00635A6A">
        <w:rPr>
          <w:b/>
          <w:bCs/>
        </w:rPr>
        <w:t>…./202</w:t>
      </w:r>
      <w:r w:rsidR="00B05A11" w:rsidRPr="00635A6A">
        <w:rPr>
          <w:b/>
          <w:bCs/>
        </w:rPr>
        <w:t>5</w:t>
      </w:r>
      <w:r w:rsidR="00392BD1" w:rsidRPr="00635A6A">
        <w:rPr>
          <w:b/>
          <w:bCs/>
        </w:rPr>
        <w:t>. (……) önkormányzati rendelete</w:t>
      </w:r>
    </w:p>
    <w:p w14:paraId="4A9FD3A0" w14:textId="773C5814" w:rsidR="00392BD1" w:rsidRPr="00635A6A" w:rsidRDefault="00392BD1">
      <w:pPr>
        <w:pStyle w:val="Norml1"/>
        <w:jc w:val="center"/>
        <w:rPr>
          <w:b/>
          <w:bCs/>
        </w:rPr>
      </w:pPr>
      <w:r w:rsidRPr="00635A6A">
        <w:rPr>
          <w:b/>
          <w:bCs/>
        </w:rPr>
        <w:t>Hajdú-B</w:t>
      </w:r>
      <w:r w:rsidR="00291A70" w:rsidRPr="00635A6A">
        <w:rPr>
          <w:b/>
          <w:bCs/>
        </w:rPr>
        <w:t>ihar Vármegye Önkormányzata 202</w:t>
      </w:r>
      <w:r w:rsidR="00B05A11" w:rsidRPr="00635A6A">
        <w:rPr>
          <w:b/>
          <w:bCs/>
        </w:rPr>
        <w:t>5</w:t>
      </w:r>
      <w:r w:rsidRPr="00635A6A">
        <w:rPr>
          <w:b/>
          <w:bCs/>
        </w:rPr>
        <w:t>. évi költségvetéséről</w:t>
      </w:r>
    </w:p>
    <w:p w14:paraId="144D7915" w14:textId="77777777" w:rsidR="00392BD1" w:rsidRPr="00635A6A" w:rsidRDefault="00392BD1">
      <w:pPr>
        <w:pStyle w:val="Norml1"/>
        <w:jc w:val="center"/>
        <w:rPr>
          <w:b/>
          <w:bCs/>
        </w:rPr>
      </w:pPr>
    </w:p>
    <w:p w14:paraId="19D2B995" w14:textId="0DD86ADB" w:rsidR="00B833F3" w:rsidRDefault="007F50F5">
      <w:pPr>
        <w:pStyle w:val="Standard"/>
        <w:jc w:val="both"/>
      </w:pPr>
      <w:r>
        <w:t xml:space="preserve">[1] </w:t>
      </w:r>
      <w:r w:rsidR="00B833F3">
        <w:t>Hajdú-Bihar Vármegye Önkormányzata gazdálkodásának alapja az éves költségvetése, mely a törvényben meghatározott kötelező, valamint a kötelező feladatainak ellátását nem veszélyeztető önként vállalt feladatait finanszírozza, azok el</w:t>
      </w:r>
      <w:r>
        <w:t>végzését</w:t>
      </w:r>
      <w:r w:rsidR="00B833F3">
        <w:t xml:space="preserve"> </w:t>
      </w:r>
      <w:r>
        <w:t>szolgálja</w:t>
      </w:r>
      <w:r w:rsidR="00B833F3">
        <w:t>.</w:t>
      </w:r>
    </w:p>
    <w:p w14:paraId="759EB306" w14:textId="4F7219C7" w:rsidR="00B833F3" w:rsidRDefault="007F50F5">
      <w:pPr>
        <w:pStyle w:val="Standard"/>
        <w:jc w:val="both"/>
      </w:pPr>
      <w:r>
        <w:t>[2] A költségvetésről szóló rendelet célja a</w:t>
      </w:r>
      <w:r w:rsidR="00B833F3">
        <w:t>z éves gazdálkodás feltételeinek</w:t>
      </w:r>
      <w:r>
        <w:t>, kereteinek</w:t>
      </w:r>
      <w:r w:rsidR="00B833F3">
        <w:t xml:space="preserve"> megteremtése</w:t>
      </w:r>
      <w:r w:rsidR="00594A91">
        <w:t xml:space="preserve"> és szabályozása a folyamatos feladatellátás, a szabályszerű és stabil működés, a kiegyensúlyozott gazdálkodás </w:t>
      </w:r>
      <w:r>
        <w:t>biztosítása érdekében.</w:t>
      </w:r>
      <w:r w:rsidR="00594A91">
        <w:t xml:space="preserve"> </w:t>
      </w:r>
      <w:r w:rsidR="00B833F3">
        <w:t xml:space="preserve"> </w:t>
      </w:r>
    </w:p>
    <w:p w14:paraId="034D4D17" w14:textId="2FCB9759" w:rsidR="003B31ED" w:rsidRPr="00635A6A" w:rsidRDefault="007F50F5">
      <w:pPr>
        <w:pStyle w:val="Standard"/>
        <w:jc w:val="both"/>
      </w:pPr>
      <w:r>
        <w:t xml:space="preserve">[3] </w:t>
      </w:r>
      <w:r w:rsidR="00641AB2" w:rsidRPr="00635A6A">
        <w:t>Hajdú-Bihar Vármegye Önkormányzat</w:t>
      </w:r>
      <w:r w:rsidR="00392BD1" w:rsidRPr="00635A6A">
        <w:t>a</w:t>
      </w:r>
      <w:r w:rsidR="00641AB2" w:rsidRPr="00635A6A">
        <w:t xml:space="preserve"> Közgyűlése az Alaptörvény 32. cikk (2) bekezdésében meghatározott eredeti jogalkotói hatáskörében, az Alaptörvény 32. cikk (1) bekezdés f) pontjában meghatározott feladatkörében eljárva, </w:t>
      </w:r>
      <w:r w:rsidR="00F67DC8">
        <w:t xml:space="preserve">a 3. § (2) bekezdése tekintetében a Magyarország 2025. évi központi költségvetéséről szóló 2024. évi XC. törvény 64. § (5) bekezdésében, a 3. § (3) bekezdése tekintetében a közszolgálati tisztviselőkről szóló 2011. évi CXCIX. törvény 234. § (3) és (4) bekezdésében kapott felhatalmazás alapján, </w:t>
      </w:r>
      <w:r w:rsidR="00B833F3">
        <w:t xml:space="preserve">az Alaptörvény 32. cikk (1) bekezdés a) pontjában meghatározott feladatkörében eljárva, </w:t>
      </w:r>
      <w:r w:rsidR="00291A70" w:rsidRPr="00635A6A">
        <w:t>a Hajdú-Bihar Vármegye</w:t>
      </w:r>
      <w:r w:rsidR="00641AB2" w:rsidRPr="00635A6A">
        <w:t xml:space="preserve"> Önkormányzat</w:t>
      </w:r>
      <w:r w:rsidR="00291A70" w:rsidRPr="00635A6A">
        <w:t>a</w:t>
      </w:r>
      <w:r w:rsidR="00641AB2" w:rsidRPr="00635A6A">
        <w:t xml:space="preserve"> Közgyűlése és Szervei Szervezeti és </w:t>
      </w:r>
      <w:r w:rsidR="00291A70" w:rsidRPr="00635A6A">
        <w:t>Működési Szabályzatáról szóló 4/2023. (IV. 3</w:t>
      </w:r>
      <w:r w:rsidR="00641AB2" w:rsidRPr="00635A6A">
        <w:t xml:space="preserve">.) önkormányzati rendelet 5. mellékletében meghatározott véleményezési jogkörében eljáró, </w:t>
      </w:r>
      <w:r w:rsidR="00641AB2" w:rsidRPr="00635A6A">
        <w:rPr>
          <w:szCs w:val="20"/>
        </w:rPr>
        <w:t xml:space="preserve">Fejlesztési, Tervezési és Stratégiai Bizottság, Jogi, Ügyrendi és Társadalmi Kapcsolatok Bizottsága, valamint a Pénzügyi Bizottság véleményének kikérésével </w:t>
      </w:r>
      <w:r w:rsidR="00641AB2" w:rsidRPr="00635A6A">
        <w:t>a következőket rendeli el:</w:t>
      </w:r>
    </w:p>
    <w:p w14:paraId="47931670" w14:textId="77777777" w:rsidR="003B31ED" w:rsidRPr="00635A6A" w:rsidRDefault="003B31ED">
      <w:pPr>
        <w:pStyle w:val="Standard"/>
        <w:jc w:val="both"/>
      </w:pPr>
    </w:p>
    <w:p w14:paraId="70D0B189" w14:textId="77777777" w:rsidR="003B31ED" w:rsidRPr="00635A6A" w:rsidRDefault="00641AB2">
      <w:pPr>
        <w:pStyle w:val="Norml1"/>
        <w:jc w:val="center"/>
      </w:pPr>
      <w:r w:rsidRPr="00635A6A">
        <w:rPr>
          <w:b/>
          <w:bCs/>
        </w:rPr>
        <w:t>1. Az Önkormányzat összevont kiadásai és bevételei</w:t>
      </w:r>
    </w:p>
    <w:p w14:paraId="1137C65D" w14:textId="77777777" w:rsidR="003B31ED" w:rsidRPr="00635A6A" w:rsidRDefault="003B31ED">
      <w:pPr>
        <w:pStyle w:val="Norml1"/>
        <w:jc w:val="center"/>
        <w:rPr>
          <w:b/>
          <w:bCs/>
        </w:rPr>
      </w:pPr>
    </w:p>
    <w:p w14:paraId="7CC0D4EC" w14:textId="07C7E82A" w:rsidR="003B31ED" w:rsidRPr="00635A6A" w:rsidRDefault="00FA5FBA" w:rsidP="00FA5FBA">
      <w:pPr>
        <w:pStyle w:val="Norml1"/>
        <w:jc w:val="both"/>
      </w:pPr>
      <w:r w:rsidRPr="00635A6A">
        <w:rPr>
          <w:b/>
          <w:bCs/>
        </w:rPr>
        <w:t>1. §</w:t>
      </w:r>
      <w:r w:rsidRPr="00635A6A">
        <w:t xml:space="preserve"> (1) </w:t>
      </w:r>
      <w:r w:rsidR="00641AB2" w:rsidRPr="00635A6A">
        <w:t>Az önkormányzat közgyűlése (továbbiakban:</w:t>
      </w:r>
      <w:r w:rsidR="00291A70" w:rsidRPr="00635A6A">
        <w:t xml:space="preserve"> Közgyűlés) az önkormányzat 202</w:t>
      </w:r>
      <w:r w:rsidR="00B05A11" w:rsidRPr="00635A6A">
        <w:t>5</w:t>
      </w:r>
      <w:r w:rsidR="00291A70" w:rsidRPr="00635A6A">
        <w:t xml:space="preserve">. évi költségvetését </w:t>
      </w:r>
      <w:r w:rsidR="00B05A11" w:rsidRPr="00635A6A">
        <w:t>1.166.104.529</w:t>
      </w:r>
      <w:r w:rsidR="00641AB2" w:rsidRPr="00635A6A">
        <w:t xml:space="preserve"> forint költségve</w:t>
      </w:r>
      <w:r w:rsidR="00291A70" w:rsidRPr="00635A6A">
        <w:t xml:space="preserve">tési bevétellel és </w:t>
      </w:r>
      <w:r w:rsidR="00B05A11" w:rsidRPr="00635A6A">
        <w:t>2.936.083.313</w:t>
      </w:r>
      <w:r w:rsidR="00641AB2" w:rsidRPr="00635A6A">
        <w:t xml:space="preserve"> forint költségvetési kiadással hagyja jóvá.</w:t>
      </w:r>
    </w:p>
    <w:p w14:paraId="0CB55008" w14:textId="77777777" w:rsidR="003B31ED" w:rsidRPr="00635A6A" w:rsidRDefault="003B31ED">
      <w:pPr>
        <w:pStyle w:val="Norml1"/>
        <w:ind w:left="360"/>
        <w:jc w:val="both"/>
      </w:pPr>
    </w:p>
    <w:p w14:paraId="22CC04C5" w14:textId="1B543CD2" w:rsidR="003B31ED" w:rsidRPr="00635A6A" w:rsidRDefault="00FA5FBA" w:rsidP="00FA5FBA">
      <w:pPr>
        <w:pStyle w:val="Norml1"/>
        <w:jc w:val="both"/>
      </w:pPr>
      <w:r w:rsidRPr="00635A6A">
        <w:t xml:space="preserve">(2) </w:t>
      </w:r>
      <w:r w:rsidR="00641AB2" w:rsidRPr="00635A6A">
        <w:t>A Közgyűlés megállapítja, hogy a költségvetési bevételek és</w:t>
      </w:r>
      <w:r w:rsidR="00291A70" w:rsidRPr="00635A6A">
        <w:t xml:space="preserve"> kiadások egyenlege </w:t>
      </w:r>
      <w:r w:rsidR="00B05A11" w:rsidRPr="00635A6A">
        <w:t>1.769.978.784</w:t>
      </w:r>
      <w:r w:rsidR="00641AB2" w:rsidRPr="00635A6A">
        <w:t xml:space="preserve"> forint hiány. A költségvet</w:t>
      </w:r>
      <w:r w:rsidR="0070724D" w:rsidRPr="00635A6A">
        <w:t xml:space="preserve">ési hiány összegéből </w:t>
      </w:r>
      <w:r w:rsidR="00B05A11" w:rsidRPr="00635A6A">
        <w:t>1.645.756.852</w:t>
      </w:r>
      <w:r w:rsidR="00641AB2" w:rsidRPr="00635A6A">
        <w:t xml:space="preserve"> forint a mű</w:t>
      </w:r>
      <w:r w:rsidR="0070724D" w:rsidRPr="00635A6A">
        <w:t xml:space="preserve">ködési költségvetés, </w:t>
      </w:r>
      <w:r w:rsidR="00B05A11" w:rsidRPr="00635A6A">
        <w:t>124.221.932</w:t>
      </w:r>
      <w:r w:rsidR="00641AB2" w:rsidRPr="00635A6A">
        <w:t xml:space="preserve"> forint a felhalmozási költségvetés hiánya.</w:t>
      </w:r>
    </w:p>
    <w:p w14:paraId="07DFC672" w14:textId="77777777" w:rsidR="003B31ED" w:rsidRPr="00635A6A" w:rsidRDefault="003B31ED">
      <w:pPr>
        <w:pStyle w:val="Norml1"/>
        <w:ind w:left="360"/>
        <w:jc w:val="both"/>
      </w:pPr>
    </w:p>
    <w:p w14:paraId="2ECCC4D4" w14:textId="17A3EADD" w:rsidR="003B31ED" w:rsidRPr="00635A6A" w:rsidRDefault="00FA5FBA" w:rsidP="00FA5FBA">
      <w:pPr>
        <w:pStyle w:val="Standard"/>
        <w:jc w:val="both"/>
      </w:pPr>
      <w:r w:rsidRPr="00635A6A">
        <w:t xml:space="preserve">(3) </w:t>
      </w:r>
      <w:r w:rsidR="00641AB2" w:rsidRPr="00635A6A">
        <w:t>A Közgyűlés a költségvetési hiá</w:t>
      </w:r>
      <w:r w:rsidR="0070724D" w:rsidRPr="00635A6A">
        <w:t xml:space="preserve">nyt belső forrásból, </w:t>
      </w:r>
      <w:r w:rsidR="00F16304" w:rsidRPr="00635A6A">
        <w:t>1.769.978.784</w:t>
      </w:r>
      <w:r w:rsidR="00641AB2" w:rsidRPr="00635A6A">
        <w:t xml:space="preserve"> forint maradvány igénybevételével finanszírozza, az e célt szolgáló finanszírozá</w:t>
      </w:r>
      <w:r w:rsidR="0070724D" w:rsidRPr="00635A6A">
        <w:t xml:space="preserve">si bevételek összege </w:t>
      </w:r>
      <w:r w:rsidR="00F16304" w:rsidRPr="00635A6A">
        <w:t>1.769.978.784</w:t>
      </w:r>
      <w:r w:rsidR="00641AB2" w:rsidRPr="00635A6A">
        <w:t xml:space="preserve"> forint.</w:t>
      </w:r>
    </w:p>
    <w:p w14:paraId="00A7C273" w14:textId="77777777" w:rsidR="003B31ED" w:rsidRPr="00635A6A" w:rsidRDefault="003B31ED">
      <w:pPr>
        <w:pStyle w:val="Listaszerbekezds"/>
      </w:pPr>
    </w:p>
    <w:p w14:paraId="3EDB698E" w14:textId="41CC3179" w:rsidR="003B31ED" w:rsidRPr="00635A6A" w:rsidRDefault="00FA5FBA" w:rsidP="00FA5FBA">
      <w:pPr>
        <w:pStyle w:val="Standard"/>
        <w:jc w:val="both"/>
      </w:pPr>
      <w:r w:rsidRPr="00635A6A">
        <w:t xml:space="preserve">(4) </w:t>
      </w:r>
      <w:r w:rsidR="00641AB2" w:rsidRPr="00635A6A">
        <w:t>A Közgyűlés megállapítja, hogy a finanszírozási kiadások összege 1</w:t>
      </w:r>
      <w:r w:rsidR="00F16304" w:rsidRPr="00635A6A">
        <w:t>5.624.000</w:t>
      </w:r>
      <w:r w:rsidR="00641AB2" w:rsidRPr="00635A6A">
        <w:t xml:space="preserve"> forint, amelyet maradvány igénybevételével finanszíroz.</w:t>
      </w:r>
    </w:p>
    <w:p w14:paraId="026D33C6" w14:textId="77777777" w:rsidR="003B31ED" w:rsidRPr="00635A6A" w:rsidRDefault="003B31ED">
      <w:pPr>
        <w:pStyle w:val="Listaszerbekezds"/>
      </w:pPr>
    </w:p>
    <w:p w14:paraId="3267E0F0" w14:textId="3034F1E2" w:rsidR="003B31ED" w:rsidRPr="00635A6A" w:rsidRDefault="00FA5FBA" w:rsidP="00FA5FBA">
      <w:pPr>
        <w:pStyle w:val="Standard"/>
        <w:jc w:val="both"/>
      </w:pPr>
      <w:r w:rsidRPr="00635A6A">
        <w:t xml:space="preserve">(5) </w:t>
      </w:r>
      <w:r w:rsidR="00641AB2" w:rsidRPr="00635A6A">
        <w:t>A Közgyűlés a (3) és (4) bekezdésben rögzítettekre tekintettel a finanszírozás</w:t>
      </w:r>
      <w:r w:rsidR="00FC2563" w:rsidRPr="00635A6A">
        <w:t xml:space="preserve">i bevételek összegét </w:t>
      </w:r>
      <w:r w:rsidR="00896B4C" w:rsidRPr="00635A6A">
        <w:t>1.785.602.784</w:t>
      </w:r>
      <w:r w:rsidR="00641AB2" w:rsidRPr="00635A6A">
        <w:t xml:space="preserve"> forintban állapítja meg.</w:t>
      </w:r>
    </w:p>
    <w:p w14:paraId="562D1EE5" w14:textId="77777777" w:rsidR="003B31ED" w:rsidRPr="00635A6A" w:rsidRDefault="003B31ED">
      <w:pPr>
        <w:pStyle w:val="Listaszerbekezds"/>
      </w:pPr>
    </w:p>
    <w:p w14:paraId="306ED41A" w14:textId="7AAA453B" w:rsidR="003B31ED" w:rsidRPr="00635A6A" w:rsidRDefault="00FA5FBA" w:rsidP="00FA5FBA">
      <w:pPr>
        <w:pStyle w:val="Standard"/>
        <w:tabs>
          <w:tab w:val="left" w:pos="1080"/>
        </w:tabs>
        <w:jc w:val="both"/>
      </w:pPr>
      <w:r w:rsidRPr="00635A6A">
        <w:rPr>
          <w:b/>
          <w:bCs/>
        </w:rPr>
        <w:t>2. §</w:t>
      </w:r>
      <w:r w:rsidRPr="00635A6A">
        <w:t xml:space="preserve"> (1) </w:t>
      </w:r>
      <w:r w:rsidR="00641AB2" w:rsidRPr="00635A6A">
        <w:t>A</w:t>
      </w:r>
      <w:r w:rsidR="001D1055" w:rsidRPr="00635A6A">
        <w:t>z</w:t>
      </w:r>
      <w:r w:rsidR="00641AB2" w:rsidRPr="00635A6A">
        <w:t xml:space="preserve"> önkormányzat működési költségvetése:</w:t>
      </w:r>
    </w:p>
    <w:p w14:paraId="26CBBD5E" w14:textId="18CB15F9" w:rsidR="003B31ED" w:rsidRPr="00635A6A" w:rsidRDefault="00641AB2">
      <w:pPr>
        <w:pStyle w:val="Standard"/>
        <w:tabs>
          <w:tab w:val="left" w:pos="720"/>
          <w:tab w:val="right" w:pos="1080"/>
          <w:tab w:val="left" w:pos="1440"/>
          <w:tab w:val="left" w:pos="1800"/>
          <w:tab w:val="right" w:pos="8820"/>
        </w:tabs>
        <w:ind w:left="360" w:hanging="720"/>
        <w:jc w:val="both"/>
      </w:pPr>
      <w:r w:rsidRPr="00635A6A">
        <w:tab/>
        <w:t>a)</w:t>
      </w:r>
      <w:r w:rsidRPr="00635A6A">
        <w:tab/>
        <w:t>működési költségvetési bev</w:t>
      </w:r>
      <w:r w:rsidR="002B5380" w:rsidRPr="00635A6A">
        <w:t>ételek mindösszesen:</w:t>
      </w:r>
      <w:r w:rsidR="00FA5FBA" w:rsidRPr="00635A6A">
        <w:t xml:space="preserve"> </w:t>
      </w:r>
      <w:r w:rsidR="00D53C41" w:rsidRPr="00635A6A">
        <w:t>853.247.612</w:t>
      </w:r>
      <w:r w:rsidRPr="00635A6A">
        <w:t xml:space="preserve"> forint</w:t>
      </w:r>
    </w:p>
    <w:p w14:paraId="712C8368" w14:textId="0722E25B" w:rsidR="003B31ED" w:rsidRPr="00635A6A" w:rsidRDefault="00641AB2">
      <w:pPr>
        <w:pStyle w:val="Standard"/>
        <w:tabs>
          <w:tab w:val="left" w:pos="720"/>
          <w:tab w:val="right" w:pos="1080"/>
          <w:tab w:val="left" w:pos="1440"/>
          <w:tab w:val="left" w:pos="1800"/>
          <w:tab w:val="right" w:pos="8820"/>
        </w:tabs>
        <w:ind w:left="360" w:hanging="720"/>
        <w:jc w:val="both"/>
      </w:pPr>
      <w:r w:rsidRPr="00635A6A">
        <w:tab/>
        <w:t>b)</w:t>
      </w:r>
      <w:r w:rsidR="005C6F09" w:rsidRPr="00635A6A">
        <w:t xml:space="preserve"> </w:t>
      </w:r>
      <w:r w:rsidRPr="00635A6A">
        <w:tab/>
        <w:t>működési költségvetési kiad</w:t>
      </w:r>
      <w:r w:rsidR="002B5380" w:rsidRPr="00635A6A">
        <w:t>ások mindösszesen:</w:t>
      </w:r>
      <w:r w:rsidR="00FA5FBA" w:rsidRPr="00635A6A">
        <w:t xml:space="preserve"> </w:t>
      </w:r>
      <w:r w:rsidR="00D53C41" w:rsidRPr="00635A6A">
        <w:t>2.499.004.464</w:t>
      </w:r>
      <w:r w:rsidRPr="00635A6A">
        <w:t xml:space="preserve"> forint</w:t>
      </w:r>
    </w:p>
    <w:p w14:paraId="53BA18D4" w14:textId="2DD762F2" w:rsidR="003B31ED" w:rsidRPr="00635A6A" w:rsidRDefault="00641AB2">
      <w:pPr>
        <w:pStyle w:val="Standard"/>
        <w:tabs>
          <w:tab w:val="left" w:pos="720"/>
          <w:tab w:val="right" w:pos="1080"/>
          <w:tab w:val="left" w:pos="1440"/>
          <w:tab w:val="left" w:pos="1800"/>
          <w:tab w:val="right" w:pos="8820"/>
        </w:tabs>
        <w:ind w:left="360" w:hanging="720"/>
        <w:jc w:val="both"/>
      </w:pPr>
      <w:r w:rsidRPr="00635A6A">
        <w:tab/>
        <w:t>c)</w:t>
      </w:r>
      <w:r w:rsidR="005C6F09" w:rsidRPr="00635A6A">
        <w:t xml:space="preserve"> </w:t>
      </w:r>
      <w:r w:rsidRPr="00635A6A">
        <w:tab/>
        <w:t>működési költségvetési</w:t>
      </w:r>
      <w:r w:rsidR="002B5380" w:rsidRPr="00635A6A">
        <w:t xml:space="preserve"> egyenleg (hiány):</w:t>
      </w:r>
      <w:r w:rsidR="00FA5FBA" w:rsidRPr="00635A6A">
        <w:t xml:space="preserve"> </w:t>
      </w:r>
      <w:r w:rsidR="002B5380" w:rsidRPr="00635A6A">
        <w:t xml:space="preserve">- </w:t>
      </w:r>
      <w:r w:rsidR="00D53C41" w:rsidRPr="00635A6A">
        <w:t>1.645.756.852</w:t>
      </w:r>
      <w:r w:rsidRPr="00635A6A">
        <w:t xml:space="preserve"> forint</w:t>
      </w:r>
    </w:p>
    <w:p w14:paraId="25575429" w14:textId="77777777" w:rsidR="003B31ED" w:rsidRPr="00635A6A" w:rsidRDefault="003B31ED">
      <w:pPr>
        <w:pStyle w:val="Standard"/>
        <w:tabs>
          <w:tab w:val="left" w:pos="720"/>
          <w:tab w:val="left" w:pos="7740"/>
        </w:tabs>
        <w:ind w:left="360" w:hanging="720"/>
        <w:jc w:val="both"/>
      </w:pPr>
    </w:p>
    <w:p w14:paraId="224465E3" w14:textId="4F8899D1" w:rsidR="003B31ED" w:rsidRPr="00635A6A" w:rsidRDefault="00FA5FBA" w:rsidP="00FA5FBA">
      <w:pPr>
        <w:pStyle w:val="Standard"/>
        <w:tabs>
          <w:tab w:val="left" w:pos="720"/>
          <w:tab w:val="left" w:pos="1800"/>
          <w:tab w:val="left" w:pos="7740"/>
        </w:tabs>
        <w:jc w:val="both"/>
      </w:pPr>
      <w:r w:rsidRPr="00635A6A">
        <w:t xml:space="preserve">(2) </w:t>
      </w:r>
      <w:r w:rsidR="00641AB2" w:rsidRPr="00635A6A">
        <w:t>A</w:t>
      </w:r>
      <w:r w:rsidR="001D1055" w:rsidRPr="00635A6A">
        <w:t>z</w:t>
      </w:r>
      <w:r w:rsidR="00641AB2" w:rsidRPr="00635A6A">
        <w:t xml:space="preserve"> önkormányzat felhalmozási költségvetése:</w:t>
      </w:r>
    </w:p>
    <w:p w14:paraId="350589C3" w14:textId="09C25BDC" w:rsidR="003B31ED" w:rsidRPr="00635A6A" w:rsidRDefault="00641AB2">
      <w:pPr>
        <w:pStyle w:val="Standard"/>
        <w:tabs>
          <w:tab w:val="left" w:pos="720"/>
          <w:tab w:val="left" w:pos="900"/>
          <w:tab w:val="left" w:pos="1440"/>
          <w:tab w:val="right" w:pos="8820"/>
        </w:tabs>
        <w:ind w:left="360" w:hanging="360"/>
        <w:jc w:val="both"/>
      </w:pPr>
      <w:r w:rsidRPr="00635A6A">
        <w:tab/>
        <w:t>a)</w:t>
      </w:r>
      <w:r w:rsidR="005C6F09" w:rsidRPr="00635A6A">
        <w:t xml:space="preserve"> </w:t>
      </w:r>
      <w:r w:rsidRPr="00635A6A">
        <w:t>felhalmozási költségvetési b</w:t>
      </w:r>
      <w:r w:rsidR="002B5380" w:rsidRPr="00635A6A">
        <w:t>evételek mindösszesen:</w:t>
      </w:r>
      <w:r w:rsidR="00FA5FBA" w:rsidRPr="00635A6A">
        <w:t xml:space="preserve"> </w:t>
      </w:r>
      <w:r w:rsidR="00D53C41" w:rsidRPr="00635A6A">
        <w:t>312.856.917</w:t>
      </w:r>
      <w:r w:rsidRPr="00635A6A">
        <w:t xml:space="preserve"> forint</w:t>
      </w:r>
    </w:p>
    <w:p w14:paraId="3082BE94" w14:textId="1728BB35" w:rsidR="003B31ED" w:rsidRPr="00635A6A" w:rsidRDefault="00641AB2">
      <w:pPr>
        <w:pStyle w:val="Standard"/>
        <w:tabs>
          <w:tab w:val="left" w:pos="720"/>
          <w:tab w:val="left" w:pos="900"/>
          <w:tab w:val="left" w:pos="1440"/>
          <w:tab w:val="right" w:pos="8820"/>
        </w:tabs>
        <w:ind w:left="360" w:hanging="360"/>
        <w:jc w:val="both"/>
      </w:pPr>
      <w:r w:rsidRPr="00635A6A">
        <w:tab/>
        <w:t>b)</w:t>
      </w:r>
      <w:r w:rsidR="005C6F09" w:rsidRPr="00635A6A">
        <w:t xml:space="preserve"> </w:t>
      </w:r>
      <w:r w:rsidRPr="00635A6A">
        <w:t>felhalmozási költségvetési kia</w:t>
      </w:r>
      <w:r w:rsidR="002B5380" w:rsidRPr="00635A6A">
        <w:t xml:space="preserve">dások mindösszesen: </w:t>
      </w:r>
      <w:r w:rsidR="00D53C41" w:rsidRPr="00635A6A">
        <w:t>437.078.849</w:t>
      </w:r>
      <w:r w:rsidRPr="00635A6A">
        <w:t xml:space="preserve"> forint</w:t>
      </w:r>
    </w:p>
    <w:p w14:paraId="22D60B36" w14:textId="472FB53C" w:rsidR="003B31ED" w:rsidRPr="00635A6A" w:rsidRDefault="00641AB2">
      <w:pPr>
        <w:pStyle w:val="Standard"/>
        <w:tabs>
          <w:tab w:val="left" w:pos="720"/>
          <w:tab w:val="left" w:pos="900"/>
          <w:tab w:val="left" w:pos="1440"/>
          <w:tab w:val="right" w:pos="8820"/>
        </w:tabs>
        <w:ind w:left="360" w:hanging="360"/>
        <w:jc w:val="both"/>
      </w:pPr>
      <w:r w:rsidRPr="00635A6A">
        <w:tab/>
        <w:t>c)</w:t>
      </w:r>
      <w:r w:rsidR="005C6F09" w:rsidRPr="00635A6A">
        <w:t xml:space="preserve"> </w:t>
      </w:r>
      <w:r w:rsidRPr="00635A6A">
        <w:t>felhalmozási költségvetési</w:t>
      </w:r>
      <w:r w:rsidR="002B5380" w:rsidRPr="00635A6A">
        <w:t xml:space="preserve"> egyenleg (hiány):</w:t>
      </w:r>
      <w:r w:rsidR="00FA5FBA" w:rsidRPr="00635A6A">
        <w:t xml:space="preserve"> </w:t>
      </w:r>
      <w:r w:rsidR="002B5380" w:rsidRPr="00635A6A">
        <w:t xml:space="preserve">- </w:t>
      </w:r>
      <w:r w:rsidR="00D53C41" w:rsidRPr="00635A6A">
        <w:t>124.221.932</w:t>
      </w:r>
      <w:r w:rsidRPr="00635A6A">
        <w:t xml:space="preserve"> forint</w:t>
      </w:r>
    </w:p>
    <w:p w14:paraId="0878C91F" w14:textId="77777777" w:rsidR="003B31ED" w:rsidRPr="00635A6A" w:rsidRDefault="003B31ED">
      <w:pPr>
        <w:pStyle w:val="Standard"/>
        <w:tabs>
          <w:tab w:val="left" w:pos="720"/>
          <w:tab w:val="left" w:pos="1800"/>
        </w:tabs>
        <w:ind w:left="360" w:hanging="720"/>
        <w:jc w:val="both"/>
      </w:pPr>
    </w:p>
    <w:p w14:paraId="1CC86E13" w14:textId="619DEE58" w:rsidR="003B31ED" w:rsidRPr="00635A6A" w:rsidRDefault="00FA5FBA" w:rsidP="00FA5FBA">
      <w:pPr>
        <w:pStyle w:val="Standard"/>
        <w:tabs>
          <w:tab w:val="left" w:pos="720"/>
          <w:tab w:val="left" w:pos="7740"/>
        </w:tabs>
        <w:jc w:val="both"/>
      </w:pPr>
      <w:r w:rsidRPr="00635A6A">
        <w:t xml:space="preserve">(3) </w:t>
      </w:r>
      <w:r w:rsidR="00641AB2" w:rsidRPr="00635A6A">
        <w:t>Az önkormányzat és az önkormányzati hivatal összevont bevételeinek és kiadásainak kiemelt előirányzatait a rendelet 1. melléklete tartalmazza.</w:t>
      </w:r>
    </w:p>
    <w:p w14:paraId="50339123" w14:textId="77777777" w:rsidR="003B31ED" w:rsidRPr="00635A6A" w:rsidRDefault="003B31ED">
      <w:pPr>
        <w:pStyle w:val="Standard"/>
        <w:tabs>
          <w:tab w:val="left" w:pos="7740"/>
        </w:tabs>
        <w:ind w:left="360"/>
        <w:jc w:val="both"/>
      </w:pPr>
    </w:p>
    <w:p w14:paraId="6553DB6E" w14:textId="7354A158" w:rsidR="003B31ED" w:rsidRPr="00635A6A" w:rsidRDefault="00FA5FBA" w:rsidP="00FA5FBA">
      <w:pPr>
        <w:pStyle w:val="Standard"/>
        <w:tabs>
          <w:tab w:val="left" w:pos="720"/>
          <w:tab w:val="left" w:pos="1069"/>
          <w:tab w:val="left" w:pos="7740"/>
        </w:tabs>
        <w:jc w:val="both"/>
      </w:pPr>
      <w:r w:rsidRPr="00635A6A">
        <w:t xml:space="preserve">(4) </w:t>
      </w:r>
      <w:r w:rsidR="00641AB2" w:rsidRPr="00635A6A">
        <w:t>Az önkormányzat bevételeinek és kiadásainak kiemelt előirányzatait a rendelet 2. melléklete tartalmazza.</w:t>
      </w:r>
    </w:p>
    <w:p w14:paraId="5D16047E" w14:textId="77777777" w:rsidR="003B31ED" w:rsidRPr="00635A6A" w:rsidRDefault="003B31ED">
      <w:pPr>
        <w:pStyle w:val="Listaszerbekezds"/>
      </w:pPr>
    </w:p>
    <w:p w14:paraId="30B74771" w14:textId="15B003B3" w:rsidR="003B31ED" w:rsidRPr="00635A6A" w:rsidRDefault="00FA5FBA" w:rsidP="00FA5FBA">
      <w:pPr>
        <w:pStyle w:val="Standard"/>
        <w:tabs>
          <w:tab w:val="left" w:pos="720"/>
          <w:tab w:val="left" w:pos="7740"/>
        </w:tabs>
        <w:jc w:val="both"/>
      </w:pPr>
      <w:r w:rsidRPr="00635A6A">
        <w:t xml:space="preserve">(5) </w:t>
      </w:r>
      <w:r w:rsidR="00641AB2" w:rsidRPr="00635A6A">
        <w:t>A Közgyűlés az önkormányzat irányítása alá tartozó Hajdú-Bihar Vármegyei Önkormányzati Hivatal költségvetési és finanszírozási bevételeit, kiadásait a rendelet 3. melléklete szerint állapítja meg.</w:t>
      </w:r>
    </w:p>
    <w:p w14:paraId="023C8296" w14:textId="77777777" w:rsidR="003B31ED" w:rsidRPr="00635A6A" w:rsidRDefault="003B31ED">
      <w:pPr>
        <w:pStyle w:val="Standard"/>
        <w:tabs>
          <w:tab w:val="left" w:pos="7380"/>
        </w:tabs>
        <w:jc w:val="both"/>
      </w:pPr>
    </w:p>
    <w:p w14:paraId="666A615F" w14:textId="21CD3A7E" w:rsidR="003B31ED" w:rsidRPr="00635A6A" w:rsidRDefault="00FA5FBA" w:rsidP="00FA5FBA">
      <w:pPr>
        <w:pStyle w:val="Standard"/>
        <w:tabs>
          <w:tab w:val="left" w:pos="720"/>
          <w:tab w:val="left" w:pos="7740"/>
        </w:tabs>
        <w:jc w:val="both"/>
      </w:pPr>
      <w:r w:rsidRPr="00635A6A">
        <w:t xml:space="preserve">(6) </w:t>
      </w:r>
      <w:r w:rsidR="00641AB2" w:rsidRPr="00635A6A">
        <w:t>A Közgyűlés megállapítja, hogy adósságot keletkeztető ügyletből szárm</w:t>
      </w:r>
      <w:r w:rsidR="002B5380" w:rsidRPr="00635A6A">
        <w:t>azó kötelezettsége nincs és 202</w:t>
      </w:r>
      <w:r w:rsidR="00B05A11" w:rsidRPr="00635A6A">
        <w:t>5</w:t>
      </w:r>
      <w:r w:rsidR="00641AB2" w:rsidRPr="00635A6A">
        <w:t>. évben ilyen ügyletet nem tervez.</w:t>
      </w:r>
    </w:p>
    <w:p w14:paraId="1A267227" w14:textId="77777777" w:rsidR="003B31ED" w:rsidRPr="00635A6A" w:rsidRDefault="003B31ED">
      <w:pPr>
        <w:pStyle w:val="Standard"/>
        <w:tabs>
          <w:tab w:val="left" w:pos="360"/>
          <w:tab w:val="left" w:pos="7380"/>
        </w:tabs>
        <w:ind w:hanging="720"/>
        <w:jc w:val="both"/>
      </w:pPr>
    </w:p>
    <w:p w14:paraId="4FF5F737" w14:textId="6BCF4B7C" w:rsidR="003B31ED" w:rsidRPr="00635A6A" w:rsidRDefault="00FA5FBA" w:rsidP="00FA5FBA">
      <w:pPr>
        <w:pStyle w:val="Standard"/>
        <w:tabs>
          <w:tab w:val="left" w:pos="720"/>
          <w:tab w:val="left" w:pos="7740"/>
        </w:tabs>
        <w:jc w:val="both"/>
      </w:pPr>
      <w:r w:rsidRPr="00635A6A">
        <w:t xml:space="preserve">(7) </w:t>
      </w:r>
      <w:r w:rsidR="00641AB2" w:rsidRPr="00635A6A">
        <w:t>A Közgyűlés a Hajdú-Bihar Vármegyei Önkormány</w:t>
      </w:r>
      <w:r w:rsidR="002B5380" w:rsidRPr="00635A6A">
        <w:t xml:space="preserve">zati Hivatal részére </w:t>
      </w:r>
      <w:r w:rsidR="0014689A" w:rsidRPr="00635A6A">
        <w:t>518.835.505</w:t>
      </w:r>
      <w:r w:rsidR="00641AB2" w:rsidRPr="00635A6A">
        <w:t xml:space="preserve"> forint irányító szervi támogatást (intézményfinanszírozást) biztosít.</w:t>
      </w:r>
    </w:p>
    <w:p w14:paraId="2A19E9E6" w14:textId="77777777" w:rsidR="003B31ED" w:rsidRPr="00635A6A" w:rsidRDefault="003B31ED">
      <w:pPr>
        <w:pStyle w:val="Standard"/>
        <w:tabs>
          <w:tab w:val="left" w:pos="360"/>
          <w:tab w:val="left" w:pos="7380"/>
        </w:tabs>
        <w:ind w:hanging="720"/>
        <w:jc w:val="both"/>
      </w:pPr>
    </w:p>
    <w:p w14:paraId="74558882" w14:textId="20F1BE47" w:rsidR="00036471" w:rsidRPr="00635A6A" w:rsidRDefault="00FA5FBA" w:rsidP="00FA5FBA">
      <w:pPr>
        <w:pStyle w:val="Standard"/>
        <w:tabs>
          <w:tab w:val="left" w:pos="720"/>
          <w:tab w:val="left" w:pos="7740"/>
        </w:tabs>
        <w:jc w:val="both"/>
      </w:pPr>
      <w:r w:rsidRPr="00635A6A">
        <w:t xml:space="preserve">(8) </w:t>
      </w:r>
      <w:r w:rsidR="002B5380" w:rsidRPr="00635A6A">
        <w:t>A Közgyűlés a 202</w:t>
      </w:r>
      <w:r w:rsidR="00F060E5" w:rsidRPr="00635A6A">
        <w:t>5</w:t>
      </w:r>
      <w:r w:rsidR="002B5380" w:rsidRPr="00635A6A">
        <w:t>. évi költségvetésben 5</w:t>
      </w:r>
      <w:r w:rsidR="00641AB2" w:rsidRPr="00635A6A">
        <w:t>.000.000 forint általános tartalékot</w:t>
      </w:r>
      <w:r w:rsidR="00036471" w:rsidRPr="00635A6A">
        <w:t>, valamint 656.163.814 forint céltartalékot</w:t>
      </w:r>
      <w:r w:rsidR="00641AB2" w:rsidRPr="00635A6A">
        <w:t xml:space="preserve"> különít el.</w:t>
      </w:r>
      <w:r w:rsidR="00036471" w:rsidRPr="00635A6A">
        <w:t xml:space="preserve"> A céltartalékból:</w:t>
      </w:r>
    </w:p>
    <w:p w14:paraId="472E6116" w14:textId="75A14D7F" w:rsidR="00036471" w:rsidRPr="00635A6A" w:rsidRDefault="00036471" w:rsidP="00036471">
      <w:pPr>
        <w:pStyle w:val="Listaszerbekezds"/>
        <w:numPr>
          <w:ilvl w:val="0"/>
          <w:numId w:val="44"/>
        </w:numPr>
        <w:suppressAutoHyphens w:val="0"/>
        <w:autoSpaceDN/>
        <w:jc w:val="both"/>
        <w:textAlignment w:val="auto"/>
      </w:pPr>
      <w:bookmarkStart w:id="1" w:name="_Hlk166512141"/>
      <w:r w:rsidRPr="00635A6A">
        <w:t>189.023.034 forint a Foglalkoztatási Paktum Plusz pályázat következő években felmerülő kiadásainak fedezetét,</w:t>
      </w:r>
      <w:bookmarkEnd w:id="1"/>
    </w:p>
    <w:p w14:paraId="594F5B56" w14:textId="0F84D30D" w:rsidR="00036471" w:rsidRPr="00635A6A" w:rsidRDefault="00036471" w:rsidP="00036471">
      <w:pPr>
        <w:pStyle w:val="Listaszerbekezds"/>
        <w:numPr>
          <w:ilvl w:val="0"/>
          <w:numId w:val="44"/>
        </w:numPr>
        <w:suppressAutoHyphens w:val="0"/>
        <w:autoSpaceDN/>
        <w:jc w:val="both"/>
        <w:textAlignment w:val="auto"/>
      </w:pPr>
      <w:r w:rsidRPr="00635A6A">
        <w:t>467.140.780 forint a Helyi humán fejlesztések pályázat következő években felmerülő kiadásainak fedezetét szolgálja.</w:t>
      </w:r>
    </w:p>
    <w:p w14:paraId="6B647C48" w14:textId="5EB4D003" w:rsidR="002B5380" w:rsidRPr="00635A6A" w:rsidRDefault="002B5380" w:rsidP="002B5380">
      <w:pPr>
        <w:pStyle w:val="Standard"/>
        <w:tabs>
          <w:tab w:val="left" w:pos="720"/>
          <w:tab w:val="left" w:pos="7740"/>
        </w:tabs>
        <w:jc w:val="both"/>
      </w:pPr>
    </w:p>
    <w:p w14:paraId="6848E827" w14:textId="5A836A67" w:rsidR="003B31ED" w:rsidRPr="00635A6A" w:rsidRDefault="00FA5FBA" w:rsidP="00FA5FBA">
      <w:pPr>
        <w:pStyle w:val="Standard"/>
        <w:tabs>
          <w:tab w:val="left" w:pos="720"/>
          <w:tab w:val="left" w:pos="7740"/>
        </w:tabs>
        <w:jc w:val="both"/>
      </w:pPr>
      <w:r w:rsidRPr="00635A6A">
        <w:t xml:space="preserve">(9) </w:t>
      </w:r>
      <w:r w:rsidR="00641AB2" w:rsidRPr="00635A6A">
        <w:t>A Közgyűlés az önkormányzat európai uniós forrásból finanszírozott támogatással megvalósuló projektjeinek bevételeit és kiadásait a rendelet 4. melléklete szerint állapítja meg, amelynek további részletezését az 5. melléklet és a 6. melléklet rögzíti.</w:t>
      </w:r>
    </w:p>
    <w:p w14:paraId="4FFF07CB" w14:textId="77777777" w:rsidR="003B31ED" w:rsidRPr="00635A6A" w:rsidRDefault="003B31ED">
      <w:pPr>
        <w:pStyle w:val="Listaszerbekezds"/>
      </w:pPr>
    </w:p>
    <w:p w14:paraId="05DAD89B" w14:textId="754C22F5" w:rsidR="003B31ED" w:rsidRPr="00635A6A" w:rsidRDefault="00FA5FBA" w:rsidP="00FA5FBA">
      <w:pPr>
        <w:pStyle w:val="Standard"/>
        <w:tabs>
          <w:tab w:val="left" w:pos="426"/>
          <w:tab w:val="left" w:pos="786"/>
        </w:tabs>
        <w:jc w:val="both"/>
      </w:pPr>
      <w:r w:rsidRPr="00635A6A">
        <w:t xml:space="preserve">(10) </w:t>
      </w:r>
      <w:r w:rsidR="00641AB2" w:rsidRPr="00635A6A">
        <w:t>Az önként vállalt feladatokat és azok kiadásait a rendelet 7. melléklete tartalmazza.</w:t>
      </w:r>
    </w:p>
    <w:p w14:paraId="37B46E54" w14:textId="77777777" w:rsidR="003B31ED" w:rsidRPr="00635A6A" w:rsidRDefault="003B31ED">
      <w:pPr>
        <w:pStyle w:val="Standard"/>
        <w:tabs>
          <w:tab w:val="left" w:pos="7380"/>
        </w:tabs>
        <w:jc w:val="both"/>
      </w:pPr>
    </w:p>
    <w:p w14:paraId="1FF952F3" w14:textId="2D68FED7" w:rsidR="003B31ED" w:rsidRPr="00635A6A" w:rsidRDefault="00FA5FBA" w:rsidP="00FA5FBA">
      <w:pPr>
        <w:pStyle w:val="Standard"/>
        <w:tabs>
          <w:tab w:val="left" w:pos="426"/>
          <w:tab w:val="left" w:pos="927"/>
        </w:tabs>
        <w:jc w:val="both"/>
      </w:pPr>
      <w:r w:rsidRPr="00635A6A">
        <w:t xml:space="preserve">(11) </w:t>
      </w:r>
      <w:r w:rsidR="002B5380" w:rsidRPr="00635A6A">
        <w:t>A Közgyűlés a 202</w:t>
      </w:r>
      <w:r w:rsidR="00071C01" w:rsidRPr="00635A6A">
        <w:t>5</w:t>
      </w:r>
      <w:r w:rsidR="002B5380" w:rsidRPr="00635A6A">
        <w:t xml:space="preserve">. évi költségvetésben </w:t>
      </w:r>
      <w:r w:rsidR="00071C01" w:rsidRPr="00635A6A">
        <w:t>7.857.207</w:t>
      </w:r>
      <w:r w:rsidR="00641AB2" w:rsidRPr="00635A6A">
        <w:t xml:space="preserve"> forint működési célú támogatást állapít meg a rendelet 8. melléklete szerint.</w:t>
      </w:r>
    </w:p>
    <w:p w14:paraId="3AF0043A" w14:textId="77777777" w:rsidR="003B31ED" w:rsidRPr="00635A6A" w:rsidRDefault="003B31ED">
      <w:pPr>
        <w:pStyle w:val="Listaszerbekezds"/>
      </w:pPr>
    </w:p>
    <w:p w14:paraId="18CF2EDD" w14:textId="0AC8B4FF" w:rsidR="003B31ED" w:rsidRPr="00635A6A" w:rsidRDefault="00FA5FBA" w:rsidP="00FA5FBA">
      <w:pPr>
        <w:pStyle w:val="Standard"/>
        <w:tabs>
          <w:tab w:val="left" w:pos="426"/>
          <w:tab w:val="left" w:pos="927"/>
        </w:tabs>
        <w:jc w:val="both"/>
      </w:pPr>
      <w:r w:rsidRPr="00635A6A">
        <w:t xml:space="preserve">(12) </w:t>
      </w:r>
      <w:r w:rsidR="002B5380" w:rsidRPr="00635A6A">
        <w:t>A Közgyűlés az önkormányzat 202</w:t>
      </w:r>
      <w:r w:rsidR="007419D1" w:rsidRPr="00635A6A">
        <w:t>5</w:t>
      </w:r>
      <w:r w:rsidR="00641AB2" w:rsidRPr="00635A6A">
        <w:t>. évi beruházásait, felújításait beruházásonként a rendelet 9. melléklete szerint állapítja meg.</w:t>
      </w:r>
    </w:p>
    <w:p w14:paraId="5F45976B" w14:textId="77777777" w:rsidR="003B31ED" w:rsidRPr="00635A6A" w:rsidRDefault="003B31ED">
      <w:pPr>
        <w:pStyle w:val="Standard"/>
        <w:tabs>
          <w:tab w:val="left" w:pos="7380"/>
        </w:tabs>
        <w:jc w:val="center"/>
        <w:rPr>
          <w:b/>
        </w:rPr>
      </w:pPr>
    </w:p>
    <w:p w14:paraId="0BCEDA7C" w14:textId="11B9360C" w:rsidR="003B31ED" w:rsidRPr="00635A6A" w:rsidRDefault="00641AB2">
      <w:pPr>
        <w:pStyle w:val="Standard"/>
        <w:tabs>
          <w:tab w:val="left" w:pos="7380"/>
        </w:tabs>
        <w:jc w:val="center"/>
      </w:pPr>
      <w:r w:rsidRPr="00635A6A">
        <w:rPr>
          <w:b/>
        </w:rPr>
        <w:t>2. A</w:t>
      </w:r>
      <w:r w:rsidR="000273EC" w:rsidRPr="00635A6A">
        <w:rPr>
          <w:b/>
        </w:rPr>
        <w:t>z</w:t>
      </w:r>
      <w:r w:rsidRPr="00635A6A">
        <w:rPr>
          <w:b/>
        </w:rPr>
        <w:t xml:space="preserve"> </w:t>
      </w:r>
      <w:r w:rsidR="000273EC" w:rsidRPr="00635A6A">
        <w:rPr>
          <w:b/>
        </w:rPr>
        <w:t>önkormányzati</w:t>
      </w:r>
      <w:r w:rsidRPr="00635A6A">
        <w:rPr>
          <w:b/>
        </w:rPr>
        <w:t xml:space="preserve"> hivatalra vonatkozó szabályok</w:t>
      </w:r>
    </w:p>
    <w:p w14:paraId="19A08F21" w14:textId="77777777" w:rsidR="003B31ED" w:rsidRPr="00635A6A" w:rsidRDefault="003B31ED">
      <w:pPr>
        <w:pStyle w:val="Standard"/>
        <w:tabs>
          <w:tab w:val="left" w:pos="7380"/>
        </w:tabs>
        <w:jc w:val="center"/>
        <w:rPr>
          <w:b/>
        </w:rPr>
      </w:pPr>
    </w:p>
    <w:p w14:paraId="057477FB" w14:textId="1948C6DD" w:rsidR="003B31ED" w:rsidRPr="00635A6A" w:rsidRDefault="00FA5FBA" w:rsidP="00FA5FBA">
      <w:pPr>
        <w:pStyle w:val="Standard"/>
        <w:jc w:val="both"/>
      </w:pPr>
      <w:r w:rsidRPr="00635A6A">
        <w:rPr>
          <w:b/>
          <w:bCs/>
        </w:rPr>
        <w:t>3. §</w:t>
      </w:r>
      <w:r w:rsidRPr="00635A6A">
        <w:t xml:space="preserve"> (1) </w:t>
      </w:r>
      <w:r w:rsidR="00641AB2" w:rsidRPr="00635A6A">
        <w:t>A Közgyűlés az önkormányzat</w:t>
      </w:r>
      <w:r w:rsidR="000273EC" w:rsidRPr="00635A6A">
        <w:t>i</w:t>
      </w:r>
      <w:r w:rsidR="00FE7689" w:rsidRPr="00635A6A">
        <w:t xml:space="preserve"> hivatal 202</w:t>
      </w:r>
      <w:r w:rsidR="009067B8" w:rsidRPr="00635A6A">
        <w:t>5</w:t>
      </w:r>
      <w:r w:rsidR="00641AB2" w:rsidRPr="00635A6A">
        <w:t>.</w:t>
      </w:r>
      <w:r w:rsidR="00FE7689" w:rsidRPr="00635A6A">
        <w:t xml:space="preserve"> évi költségvetési bevételeit </w:t>
      </w:r>
      <w:r w:rsidR="009067B8" w:rsidRPr="00635A6A">
        <w:t>96</w:t>
      </w:r>
      <w:r w:rsidR="00641AB2" w:rsidRPr="00635A6A">
        <w:t>0.000 forintban, köl</w:t>
      </w:r>
      <w:r w:rsidR="00FE7689" w:rsidRPr="00635A6A">
        <w:t xml:space="preserve">tségvetési kiadásait </w:t>
      </w:r>
      <w:r w:rsidR="009067B8" w:rsidRPr="00635A6A">
        <w:t>519.795.505</w:t>
      </w:r>
      <w:r w:rsidR="00641AB2" w:rsidRPr="00635A6A">
        <w:t xml:space="preserve"> forintban határozza meg. A kö</w:t>
      </w:r>
      <w:r w:rsidR="00FE7689" w:rsidRPr="00635A6A">
        <w:t xml:space="preserve">ltségvetés egyenlege </w:t>
      </w:r>
      <w:r w:rsidR="009067B8" w:rsidRPr="00635A6A">
        <w:t>518.835.505</w:t>
      </w:r>
      <w:r w:rsidR="00641AB2" w:rsidRPr="00635A6A">
        <w:t xml:space="preserve"> f</w:t>
      </w:r>
      <w:r w:rsidR="00FE7689" w:rsidRPr="00635A6A">
        <w:t xml:space="preserve">orint hiány, amelyet </w:t>
      </w:r>
      <w:r w:rsidR="009067B8" w:rsidRPr="00635A6A">
        <w:t>518.835.505</w:t>
      </w:r>
      <w:r w:rsidR="00641AB2" w:rsidRPr="00635A6A">
        <w:t xml:space="preserve"> forint</w:t>
      </w:r>
      <w:r w:rsidR="00FE7689" w:rsidRPr="00635A6A">
        <w:t xml:space="preserve"> </w:t>
      </w:r>
      <w:r w:rsidR="00641AB2" w:rsidRPr="00635A6A">
        <w:t>irányító szervi támogatással finanszíroz a rendelet 3. melléklete szerint.</w:t>
      </w:r>
    </w:p>
    <w:p w14:paraId="602B9AA5" w14:textId="77777777" w:rsidR="003B31ED" w:rsidRPr="00635A6A" w:rsidRDefault="003B31ED">
      <w:pPr>
        <w:pStyle w:val="Standard"/>
        <w:jc w:val="both"/>
      </w:pPr>
    </w:p>
    <w:p w14:paraId="03D88A35" w14:textId="493C0CD3" w:rsidR="003B31ED" w:rsidRPr="00635A6A" w:rsidRDefault="00FA5FBA" w:rsidP="00FA5FBA">
      <w:pPr>
        <w:pStyle w:val="Standard"/>
        <w:jc w:val="both"/>
      </w:pPr>
      <w:r w:rsidRPr="00635A6A">
        <w:t xml:space="preserve">(2) </w:t>
      </w:r>
      <w:r w:rsidR="00FE7689" w:rsidRPr="00635A6A">
        <w:t>A Közgyűlés 202</w:t>
      </w:r>
      <w:r w:rsidR="009067B8" w:rsidRPr="00635A6A">
        <w:t>5</w:t>
      </w:r>
      <w:r w:rsidR="00641AB2" w:rsidRPr="00635A6A">
        <w:t xml:space="preserve">. évre vonatkozóan az illetményalap összegét </w:t>
      </w:r>
      <w:r w:rsidR="009067B8" w:rsidRPr="00635A6A">
        <w:t>6</w:t>
      </w:r>
      <w:r w:rsidR="00641AB2" w:rsidRPr="00635A6A">
        <w:t>1.</w:t>
      </w:r>
      <w:r w:rsidR="009067B8" w:rsidRPr="00635A6A">
        <w:t>5</w:t>
      </w:r>
      <w:r w:rsidR="00641AB2" w:rsidRPr="00635A6A">
        <w:t>00 Ft-ban állapítja meg.</w:t>
      </w:r>
    </w:p>
    <w:p w14:paraId="253AB3B3" w14:textId="77777777" w:rsidR="003B31ED" w:rsidRPr="00635A6A" w:rsidRDefault="003B31ED">
      <w:pPr>
        <w:pStyle w:val="Listaszerbekezds"/>
        <w:ind w:left="720"/>
        <w:jc w:val="both"/>
      </w:pPr>
    </w:p>
    <w:p w14:paraId="580CA674" w14:textId="5B722A74" w:rsidR="003B31ED" w:rsidRPr="00635A6A" w:rsidRDefault="00FA5FBA" w:rsidP="00FA5FBA">
      <w:pPr>
        <w:pStyle w:val="Standard"/>
        <w:jc w:val="both"/>
      </w:pPr>
      <w:r w:rsidRPr="00635A6A">
        <w:t xml:space="preserve">(3) </w:t>
      </w:r>
      <w:r w:rsidR="00FE7689" w:rsidRPr="00635A6A">
        <w:t>A Közgyűlés 202</w:t>
      </w:r>
      <w:r w:rsidR="009067B8" w:rsidRPr="00635A6A">
        <w:t>5</w:t>
      </w:r>
      <w:r w:rsidR="00641AB2" w:rsidRPr="00635A6A">
        <w:t>. évre vonatkozóan:</w:t>
      </w:r>
    </w:p>
    <w:p w14:paraId="785A9477" w14:textId="77777777" w:rsidR="003B31ED" w:rsidRPr="00635A6A" w:rsidRDefault="00641AB2">
      <w:pPr>
        <w:pStyle w:val="Listaszerbekezds"/>
        <w:numPr>
          <w:ilvl w:val="0"/>
          <w:numId w:val="39"/>
        </w:numPr>
        <w:jc w:val="both"/>
      </w:pPr>
      <w:r w:rsidRPr="00635A6A">
        <w:t>a hivatal felsőfokú iskolai végzettségű köztisztviselőinek illetménykiegészítését a köztisztviselő alapilletményének 40 %-ában,</w:t>
      </w:r>
    </w:p>
    <w:p w14:paraId="45FEA1C0" w14:textId="77777777" w:rsidR="003B31ED" w:rsidRPr="00635A6A" w:rsidRDefault="00641AB2">
      <w:pPr>
        <w:pStyle w:val="Listaszerbekezds"/>
        <w:numPr>
          <w:ilvl w:val="0"/>
          <w:numId w:val="29"/>
        </w:numPr>
        <w:jc w:val="both"/>
      </w:pPr>
      <w:r w:rsidRPr="00635A6A">
        <w:t>a hivatal érettségi végzettségű köztisztviselőinek és ügykezelőinek illetménykiegészítését a köztisztviselő alapilletményének 20%-ában határozza meg.</w:t>
      </w:r>
    </w:p>
    <w:p w14:paraId="54901ACA" w14:textId="77777777" w:rsidR="003B31ED" w:rsidRPr="00635A6A" w:rsidRDefault="003B31ED">
      <w:pPr>
        <w:pStyle w:val="Standard"/>
        <w:jc w:val="both"/>
      </w:pPr>
    </w:p>
    <w:p w14:paraId="3760A1A2" w14:textId="3E82B578" w:rsidR="003B31ED" w:rsidRPr="00635A6A" w:rsidRDefault="006F0BDA" w:rsidP="006F0BDA">
      <w:pPr>
        <w:pStyle w:val="Standard"/>
        <w:jc w:val="both"/>
      </w:pPr>
      <w:r w:rsidRPr="00635A6A">
        <w:lastRenderedPageBreak/>
        <w:t xml:space="preserve">(4) </w:t>
      </w:r>
      <w:r w:rsidR="00641AB2" w:rsidRPr="00635A6A">
        <w:t>A helyi önkormányzatok és szerveik, a köztársasági megbízottak, valamint egyes centrális alárendeltségű szervek feladat- és hatásköreiről szóló 1991. évi XX. törvény 140. § (1) bekezdés g) pontja alapján a jegyző e rendeletben megtervezett irányító szervi támogatást (intézményfinanszírozást) a tényleges szükségletekhez igazítva (teljesítésarányosan) gondoskodik az önkormányzati hivatal pénzellátásáról.</w:t>
      </w:r>
    </w:p>
    <w:p w14:paraId="11258D0F" w14:textId="77777777" w:rsidR="003B31ED" w:rsidRPr="00635A6A" w:rsidRDefault="003B31ED">
      <w:pPr>
        <w:pStyle w:val="Standard"/>
        <w:ind w:left="360"/>
        <w:jc w:val="both"/>
      </w:pPr>
    </w:p>
    <w:p w14:paraId="68A13DAE" w14:textId="2529771F" w:rsidR="003B31ED" w:rsidRPr="00635A6A" w:rsidRDefault="006F0BDA" w:rsidP="006F0BDA">
      <w:pPr>
        <w:pStyle w:val="Standard"/>
        <w:jc w:val="both"/>
      </w:pPr>
      <w:r w:rsidRPr="00635A6A">
        <w:t xml:space="preserve">(5) </w:t>
      </w:r>
      <w:r w:rsidR="00641AB2" w:rsidRPr="00635A6A">
        <w:t>A közgyűl</w:t>
      </w:r>
      <w:r w:rsidR="00FE7689" w:rsidRPr="00635A6A">
        <w:t>és az önkormányzati hivatal 202</w:t>
      </w:r>
      <w:r w:rsidR="009067B8" w:rsidRPr="00635A6A">
        <w:t>5</w:t>
      </w:r>
      <w:r w:rsidR="00641AB2" w:rsidRPr="00635A6A">
        <w:t>. évi engedélyezett létszámát 4</w:t>
      </w:r>
      <w:r w:rsidR="00697CAA" w:rsidRPr="00635A6A">
        <w:t>5</w:t>
      </w:r>
      <w:r w:rsidR="00641AB2" w:rsidRPr="00635A6A">
        <w:t xml:space="preserve"> főben állapítja meg.</w:t>
      </w:r>
    </w:p>
    <w:p w14:paraId="0CC8361F" w14:textId="77777777" w:rsidR="003B31ED" w:rsidRDefault="003B31ED">
      <w:pPr>
        <w:pStyle w:val="Listaszerbekezds"/>
        <w:rPr>
          <w:i/>
        </w:rPr>
      </w:pPr>
    </w:p>
    <w:p w14:paraId="5C9CEE34" w14:textId="77777777" w:rsidR="00C732E7" w:rsidRPr="00635A6A" w:rsidRDefault="00C732E7">
      <w:pPr>
        <w:pStyle w:val="Listaszerbekezds"/>
        <w:rPr>
          <w:i/>
        </w:rPr>
      </w:pPr>
    </w:p>
    <w:p w14:paraId="29A17F49" w14:textId="6162EB4C" w:rsidR="003B31ED" w:rsidRPr="00635A6A" w:rsidRDefault="006F0BDA" w:rsidP="006F0BDA">
      <w:pPr>
        <w:pStyle w:val="Standard"/>
        <w:jc w:val="center"/>
        <w:rPr>
          <w:b/>
        </w:rPr>
      </w:pPr>
      <w:r w:rsidRPr="00635A6A">
        <w:rPr>
          <w:b/>
        </w:rPr>
        <w:t xml:space="preserve">3. </w:t>
      </w:r>
      <w:r w:rsidR="00641AB2" w:rsidRPr="00635A6A">
        <w:rPr>
          <w:b/>
        </w:rPr>
        <w:t>A költségvetés végrehajtásának szabályai</w:t>
      </w:r>
    </w:p>
    <w:p w14:paraId="339CE8B7" w14:textId="77777777" w:rsidR="003B31ED" w:rsidRPr="00635A6A" w:rsidRDefault="003B31ED">
      <w:pPr>
        <w:pStyle w:val="Standard"/>
        <w:jc w:val="center"/>
        <w:rPr>
          <w:b/>
        </w:rPr>
      </w:pPr>
    </w:p>
    <w:p w14:paraId="457DF1EE" w14:textId="1B535F1E" w:rsidR="003B31ED" w:rsidRPr="00635A6A" w:rsidRDefault="006F0BDA" w:rsidP="006F0BDA">
      <w:pPr>
        <w:pStyle w:val="Standard"/>
        <w:jc w:val="both"/>
      </w:pPr>
      <w:r w:rsidRPr="00635A6A">
        <w:rPr>
          <w:b/>
          <w:bCs/>
        </w:rPr>
        <w:t>4. §</w:t>
      </w:r>
      <w:r w:rsidRPr="00635A6A">
        <w:t xml:space="preserve"> (1) </w:t>
      </w:r>
      <w:r w:rsidR="00641AB2" w:rsidRPr="00635A6A">
        <w:t xml:space="preserve">Az államháztartásról szóló törvény végrehajtásáról szóló 368/2011. (XII. 31.) Korm. rendelet (továbbiakban: Ávr.) 51. § (1) bekezdésében meghatározott rovatok terhére a költségvetési évben </w:t>
      </w:r>
      <w:r w:rsidR="00DC68B8" w:rsidRPr="00635A6A">
        <w:t>az önkormányzati h</w:t>
      </w:r>
      <w:r w:rsidR="00551F64" w:rsidRPr="00635A6A">
        <w:t xml:space="preserve">ivatal esetében bruttó </w:t>
      </w:r>
      <w:r w:rsidR="00445455" w:rsidRPr="00635A6A">
        <w:t>29</w:t>
      </w:r>
      <w:r w:rsidR="00551F64" w:rsidRPr="00635A6A">
        <w:t>.</w:t>
      </w:r>
      <w:r w:rsidR="00445455" w:rsidRPr="00635A6A">
        <w:t>40</w:t>
      </w:r>
      <w:r w:rsidR="00551F64" w:rsidRPr="00635A6A">
        <w:t>0.000</w:t>
      </w:r>
      <w:r w:rsidR="00DC68B8" w:rsidRPr="00635A6A">
        <w:t xml:space="preserve"> forint összeghatárig vállalható kötelezettség. </w:t>
      </w:r>
    </w:p>
    <w:p w14:paraId="7D5576BC" w14:textId="77777777" w:rsidR="00DC68B8" w:rsidRPr="00635A6A" w:rsidRDefault="00DC68B8" w:rsidP="00DC68B8">
      <w:pPr>
        <w:pStyle w:val="Standard"/>
        <w:ind w:left="360"/>
        <w:jc w:val="both"/>
      </w:pPr>
    </w:p>
    <w:p w14:paraId="0BB70EFB" w14:textId="2529CAD0" w:rsidR="003B31ED" w:rsidRPr="00635A6A" w:rsidRDefault="006F0BDA" w:rsidP="006F0BDA">
      <w:pPr>
        <w:pStyle w:val="Standard"/>
        <w:jc w:val="both"/>
      </w:pPr>
      <w:r w:rsidRPr="00635A6A">
        <w:t xml:space="preserve">(2) </w:t>
      </w:r>
      <w:r w:rsidR="00641AB2" w:rsidRPr="00635A6A">
        <w:t>A Közgyűlés az önkormányzat bevételeinek és kiadásainak módosítási jogát a közgyűlés elnökére ruházza át, amelyet az Áht. 30. § (3) bekezdésében, valamint az Ávr. 34/A. §-ban meghatározott rendelkezések figyelembevételével jogosult gyakorolni.</w:t>
      </w:r>
    </w:p>
    <w:p w14:paraId="08C66CA8" w14:textId="77777777" w:rsidR="003B31ED" w:rsidRPr="00635A6A" w:rsidRDefault="003B31ED">
      <w:pPr>
        <w:pStyle w:val="Listaszerbekezds"/>
      </w:pPr>
    </w:p>
    <w:p w14:paraId="3F4328B8" w14:textId="60905C44" w:rsidR="003B31ED" w:rsidRPr="00635A6A" w:rsidRDefault="006F0BDA" w:rsidP="006F0BDA">
      <w:pPr>
        <w:pStyle w:val="Standard"/>
        <w:jc w:val="both"/>
      </w:pPr>
      <w:r w:rsidRPr="00635A6A">
        <w:t xml:space="preserve">(3) </w:t>
      </w:r>
      <w:r w:rsidR="00641AB2" w:rsidRPr="00635A6A">
        <w:t>A Közgyűlés az önkormányzat kiadási előirányzatai közötti átcsoportosítás jogát a közgyűlés elnökére ruházza át. Az így végrehajtott átcsoportosítások csak az adott költségvetési évben érvényesülő hatással bírnak, a következő költségvetési évek előirányzatait nem érinthetik.</w:t>
      </w:r>
    </w:p>
    <w:p w14:paraId="0E7E03D2" w14:textId="77777777" w:rsidR="003B31ED" w:rsidRPr="00635A6A" w:rsidRDefault="003B31ED">
      <w:pPr>
        <w:pStyle w:val="Listaszerbekezds"/>
      </w:pPr>
    </w:p>
    <w:p w14:paraId="13655520" w14:textId="5748A822" w:rsidR="003B31ED" w:rsidRPr="003F654F" w:rsidRDefault="006F0BDA" w:rsidP="006F0BDA">
      <w:pPr>
        <w:pStyle w:val="Standard"/>
        <w:tabs>
          <w:tab w:val="left" w:pos="1114"/>
        </w:tabs>
        <w:jc w:val="both"/>
      </w:pPr>
      <w:r w:rsidRPr="00635A6A">
        <w:t xml:space="preserve">(4) </w:t>
      </w:r>
      <w:r w:rsidR="00641AB2" w:rsidRPr="00635A6A">
        <w:t xml:space="preserve">A Közgyűlés az önkormányzat költségvetésében megtervezett </w:t>
      </w:r>
      <w:r w:rsidR="00641AB2" w:rsidRPr="003F654F">
        <w:t xml:space="preserve">általános </w:t>
      </w:r>
      <w:r w:rsidR="00445455" w:rsidRPr="003F654F">
        <w:t>és cél</w:t>
      </w:r>
      <w:r w:rsidR="00641AB2" w:rsidRPr="003F654F">
        <w:t>tartalékkal kapcsolatos átcsoportosítás jogát a közgyűlés elnökére ruházza át.</w:t>
      </w:r>
      <w:r w:rsidR="00445455" w:rsidRPr="003F654F">
        <w:t xml:space="preserve"> </w:t>
      </w:r>
      <w:r w:rsidR="00E17AB5" w:rsidRPr="00610238">
        <w:t>A céltartalék ily módon történő átcsoportosítása nem irányulhat az eredeti cél megváltoztatására, az átcsoportosítást követően is biztosítani kell a cél szerinti felhasználást.</w:t>
      </w:r>
    </w:p>
    <w:p w14:paraId="317F6B31" w14:textId="77777777" w:rsidR="003B31ED" w:rsidRPr="00635A6A" w:rsidRDefault="003B31ED">
      <w:pPr>
        <w:pStyle w:val="Listaszerbekezds"/>
      </w:pPr>
    </w:p>
    <w:p w14:paraId="004003FB" w14:textId="21EEB511" w:rsidR="003B31ED" w:rsidRPr="00635A6A" w:rsidRDefault="006F0BDA" w:rsidP="006F0BDA">
      <w:pPr>
        <w:pStyle w:val="Standard"/>
        <w:jc w:val="both"/>
      </w:pPr>
      <w:r w:rsidRPr="00635A6A">
        <w:t xml:space="preserve">(5) </w:t>
      </w:r>
      <w:r w:rsidR="00551F64" w:rsidRPr="00635A6A">
        <w:t>A Közgyűlés 202</w:t>
      </w:r>
      <w:r w:rsidR="00E17AB5" w:rsidRPr="00635A6A">
        <w:t>5</w:t>
      </w:r>
      <w:r w:rsidR="00641AB2" w:rsidRPr="00635A6A">
        <w:t>. évben a cafetéria-juttatás mértékét 512.000 forint/fő/év összegben, állapítja meg. A juttatás éves összege biztosít fedezetet az egyes juttatásokhoz kapcsolódó, a juttatást teljesítő munkáltatót terhelő közterhek megfizetésére is.</w:t>
      </w:r>
    </w:p>
    <w:p w14:paraId="32E56B1B" w14:textId="77777777" w:rsidR="003B31ED" w:rsidRPr="00635A6A" w:rsidRDefault="003B31ED">
      <w:pPr>
        <w:pStyle w:val="Listaszerbekezds"/>
      </w:pPr>
    </w:p>
    <w:p w14:paraId="264ACA1F" w14:textId="1E9272C8" w:rsidR="003B31ED" w:rsidRPr="00635A6A" w:rsidRDefault="006F0BDA" w:rsidP="006F0BDA">
      <w:pPr>
        <w:pStyle w:val="Standard"/>
        <w:jc w:val="both"/>
      </w:pPr>
      <w:r w:rsidRPr="00635A6A">
        <w:t xml:space="preserve">(6) </w:t>
      </w:r>
      <w:r w:rsidR="00641AB2" w:rsidRPr="00635A6A">
        <w:t>A Közgyűlés a fizetési számlához kapcsolódó banks</w:t>
      </w:r>
      <w:r w:rsidR="00551F64" w:rsidRPr="00635A6A">
        <w:t>zámla hozzájárulás mértékét 202</w:t>
      </w:r>
      <w:r w:rsidR="00E17AB5" w:rsidRPr="00635A6A">
        <w:t>5</w:t>
      </w:r>
      <w:r w:rsidR="00641AB2" w:rsidRPr="00635A6A">
        <w:t>. évben bruttó 1.000 forint/fő/hóban határozza meg.</w:t>
      </w:r>
    </w:p>
    <w:p w14:paraId="1E38CAED" w14:textId="77777777" w:rsidR="003B31ED" w:rsidRPr="00635A6A" w:rsidRDefault="003B31ED">
      <w:pPr>
        <w:pStyle w:val="Listaszerbekezds"/>
      </w:pPr>
    </w:p>
    <w:p w14:paraId="03CD9A67" w14:textId="41F2C52C" w:rsidR="003B31ED" w:rsidRPr="00635A6A" w:rsidRDefault="006F0BDA" w:rsidP="006F0BDA">
      <w:pPr>
        <w:pStyle w:val="Standard"/>
        <w:jc w:val="both"/>
      </w:pPr>
      <w:r w:rsidRPr="00635A6A">
        <w:t xml:space="preserve">(7) </w:t>
      </w:r>
      <w:r w:rsidR="00641AB2" w:rsidRPr="00635A6A">
        <w:t>A Közgyűlés a kitüntető díjak alapítá</w:t>
      </w:r>
      <w:r w:rsidR="00551F64" w:rsidRPr="00635A6A">
        <w:t>sáról és adományozásáról szóló 2/2023. (I</w:t>
      </w:r>
      <w:r w:rsidR="00641AB2" w:rsidRPr="00635A6A">
        <w:t>I. 27.) önkormányzati rendeletével alapított, a „Hajdú-Bihar</w:t>
      </w:r>
      <w:r w:rsidR="00425FA9" w:rsidRPr="00635A6A">
        <w:t xml:space="preserve"> </w:t>
      </w:r>
      <w:r w:rsidR="00551F64" w:rsidRPr="00635A6A">
        <w:t>Várm</w:t>
      </w:r>
      <w:r w:rsidR="00425FA9" w:rsidRPr="00635A6A">
        <w:t>egye Önkormányzatának</w:t>
      </w:r>
      <w:r w:rsidR="00641AB2" w:rsidRPr="00635A6A">
        <w:t xml:space="preserve"> Emlékérme”</w:t>
      </w:r>
      <w:r w:rsidR="00551F64" w:rsidRPr="00635A6A">
        <w:t xml:space="preserve"> „Hajdú-Bihar Várm</w:t>
      </w:r>
      <w:r w:rsidR="00425FA9" w:rsidRPr="00635A6A">
        <w:t>egye Rendőre”</w:t>
      </w:r>
      <w:r w:rsidR="00641AB2" w:rsidRPr="00635A6A">
        <w:t xml:space="preserve"> felirattal kitüntető díjhoz kapcsolódó pénzjutalom bruttó összegét 1</w:t>
      </w:r>
      <w:r w:rsidR="00AB08BA" w:rsidRPr="00635A6A">
        <w:t>5</w:t>
      </w:r>
      <w:r w:rsidR="00641AB2" w:rsidRPr="00635A6A">
        <w:t>0.000 forint/fő összegben állapítja meg.</w:t>
      </w:r>
    </w:p>
    <w:p w14:paraId="01A90CA8" w14:textId="77777777" w:rsidR="003B31ED" w:rsidRPr="00635A6A" w:rsidRDefault="003B31ED">
      <w:pPr>
        <w:pStyle w:val="Standard"/>
        <w:jc w:val="center"/>
        <w:rPr>
          <w:b/>
          <w:bCs/>
        </w:rPr>
      </w:pPr>
    </w:p>
    <w:p w14:paraId="00C2213D" w14:textId="17036CC5" w:rsidR="003B31ED" w:rsidRPr="00635A6A" w:rsidRDefault="006F0BDA" w:rsidP="006F0BDA">
      <w:pPr>
        <w:pStyle w:val="Standard"/>
        <w:tabs>
          <w:tab w:val="left" w:pos="1114"/>
        </w:tabs>
        <w:jc w:val="both"/>
      </w:pPr>
      <w:r w:rsidRPr="00635A6A">
        <w:rPr>
          <w:b/>
          <w:bCs/>
        </w:rPr>
        <w:t>5. §</w:t>
      </w:r>
      <w:r w:rsidRPr="00635A6A">
        <w:t xml:space="preserve"> (1) </w:t>
      </w:r>
      <w:r w:rsidR="00641AB2" w:rsidRPr="00635A6A">
        <w:t>E rendelet 8. mellékletében szereplő előirányzatok közül a közgyűlés elnöke dönt az elnöki hatáskörben felhasználható előirányzatokról.</w:t>
      </w:r>
    </w:p>
    <w:p w14:paraId="3281C248" w14:textId="77777777" w:rsidR="003B31ED" w:rsidRPr="00635A6A" w:rsidRDefault="003B31ED">
      <w:pPr>
        <w:pStyle w:val="Standard"/>
        <w:ind w:left="360"/>
        <w:jc w:val="both"/>
      </w:pPr>
    </w:p>
    <w:p w14:paraId="37070293" w14:textId="7321B2F8" w:rsidR="003B31ED" w:rsidRPr="00635A6A" w:rsidRDefault="006F0BDA" w:rsidP="006F0BDA">
      <w:pPr>
        <w:pStyle w:val="Standard"/>
        <w:jc w:val="both"/>
      </w:pPr>
      <w:r w:rsidRPr="00635A6A">
        <w:t xml:space="preserve">(2) </w:t>
      </w:r>
      <w:r w:rsidR="00641AB2" w:rsidRPr="00635A6A">
        <w:t>A támogatások felhasználásának ellenőrzése a támogatást nyújtó feladata.</w:t>
      </w:r>
    </w:p>
    <w:p w14:paraId="22FA8C25" w14:textId="77777777" w:rsidR="003B31ED" w:rsidRPr="00635A6A" w:rsidRDefault="003B31ED">
      <w:pPr>
        <w:pStyle w:val="Listaszerbekezds"/>
      </w:pPr>
    </w:p>
    <w:p w14:paraId="00DF3539" w14:textId="19AF1E87" w:rsidR="003B31ED" w:rsidRPr="00635A6A" w:rsidRDefault="006F0BDA" w:rsidP="006F0BDA">
      <w:pPr>
        <w:pStyle w:val="Standard"/>
        <w:jc w:val="both"/>
      </w:pPr>
      <w:r w:rsidRPr="00635A6A">
        <w:t xml:space="preserve">(3) </w:t>
      </w:r>
      <w:r w:rsidR="00641AB2" w:rsidRPr="00635A6A">
        <w:t>A bevételek beszedésekor, a kiadások teljesítésekor lehetőség szerint készpénzkímélő fizetési módokat kell alkalmazni.</w:t>
      </w:r>
    </w:p>
    <w:p w14:paraId="0E096DA7" w14:textId="77777777" w:rsidR="003B31ED" w:rsidRPr="00635A6A" w:rsidRDefault="003B31ED">
      <w:pPr>
        <w:pStyle w:val="Listaszerbekezds"/>
      </w:pPr>
    </w:p>
    <w:p w14:paraId="1AC05E03" w14:textId="7F9E40EB" w:rsidR="003B31ED" w:rsidRPr="00635A6A" w:rsidRDefault="006F0BDA" w:rsidP="006F0BDA">
      <w:pPr>
        <w:pStyle w:val="Standard"/>
        <w:jc w:val="both"/>
      </w:pPr>
      <w:r w:rsidRPr="00635A6A">
        <w:lastRenderedPageBreak/>
        <w:t xml:space="preserve">(4) </w:t>
      </w:r>
      <w:r w:rsidR="00641AB2" w:rsidRPr="00635A6A">
        <w:t>Az Áht. 109. § (6) bekezdésében kapott felhatalmazás alapján az önkormányzat és az önkormányzati hivatal házi pénztárából gazdasági eseményenként maximum 200.000 forint összeghatárig a K1</w:t>
      </w:r>
      <w:r w:rsidR="00FA6D68" w:rsidRPr="00635A6A">
        <w:t xml:space="preserve"> rovat</w:t>
      </w:r>
      <w:r w:rsidR="00641AB2" w:rsidRPr="00635A6A">
        <w:t xml:space="preserve"> Személyi juttatások, K3 </w:t>
      </w:r>
      <w:r w:rsidR="00FA6D68" w:rsidRPr="00635A6A">
        <w:t xml:space="preserve">rovat </w:t>
      </w:r>
      <w:r w:rsidR="00641AB2" w:rsidRPr="00635A6A">
        <w:t xml:space="preserve">Dologi kiadások, valamint K6 </w:t>
      </w:r>
      <w:r w:rsidR="00FA6D68" w:rsidRPr="00635A6A">
        <w:t xml:space="preserve">rovat </w:t>
      </w:r>
      <w:r w:rsidR="00641AB2" w:rsidRPr="00635A6A">
        <w:t>Beruházások kiemelt előirányzatra elszámolható kiadások, valamint az ezekre adott előlegek teljesíthetőek készpénzben, abban az esetben, amennyiben a bankszámlára történő utalás valamely oknál fogva nem lehetséges.</w:t>
      </w:r>
    </w:p>
    <w:p w14:paraId="6D6EC06D" w14:textId="77777777" w:rsidR="00A96899" w:rsidRPr="00635A6A" w:rsidRDefault="00A96899" w:rsidP="00A96899">
      <w:pPr>
        <w:pStyle w:val="Standard"/>
        <w:jc w:val="both"/>
      </w:pPr>
    </w:p>
    <w:p w14:paraId="5DD4AEE7" w14:textId="36D2B985" w:rsidR="003B31ED" w:rsidRPr="00635A6A" w:rsidRDefault="006F0BDA" w:rsidP="006F0BDA">
      <w:pPr>
        <w:pStyle w:val="Standard"/>
        <w:jc w:val="both"/>
      </w:pPr>
      <w:r w:rsidRPr="00635A6A">
        <w:t xml:space="preserve">(5) </w:t>
      </w:r>
      <w:r w:rsidR="00641AB2" w:rsidRPr="00635A6A">
        <w:t>A (4) bekezdésben rögzített esetek kivételével készpénz csak abban az esetben fizethető ki, amennyiben arra az önkormányzat esetében az elnök, az önkormányzati hivatal esetében a jegyző külön engedélyt ad. Ebben az esetben a készpénzben történő kifizetés szükségességét és indokát külön dokumentálni kell, és azt a kifizetés dokumentumaihoz csatolni szükséges.</w:t>
      </w:r>
    </w:p>
    <w:p w14:paraId="0AD7EDE4" w14:textId="77777777" w:rsidR="003B31ED" w:rsidRPr="00635A6A" w:rsidRDefault="003B31ED">
      <w:pPr>
        <w:pStyle w:val="Textbody"/>
        <w:spacing w:after="0"/>
        <w:ind w:left="357"/>
        <w:jc w:val="center"/>
        <w:rPr>
          <w:b/>
        </w:rPr>
      </w:pPr>
    </w:p>
    <w:p w14:paraId="18CE034C" w14:textId="74236F62" w:rsidR="003B31ED" w:rsidRPr="00635A6A" w:rsidRDefault="006F0BDA" w:rsidP="006F0BDA">
      <w:pPr>
        <w:pStyle w:val="Standard"/>
        <w:jc w:val="both"/>
      </w:pPr>
      <w:r w:rsidRPr="00635A6A">
        <w:rPr>
          <w:b/>
          <w:bCs/>
        </w:rPr>
        <w:t>6. §</w:t>
      </w:r>
      <w:r w:rsidRPr="00635A6A">
        <w:t xml:space="preserve"> </w:t>
      </w:r>
      <w:r w:rsidR="00641AB2" w:rsidRPr="00635A6A">
        <w:t>A Közgyűlés megbízza elnökét és a jegyzőt, hogy az e rendeletben megállapított szabályoknak megfelelően gondoskodjon a költségvetési gazdálkodás operatív végrehajtásáról.</w:t>
      </w:r>
    </w:p>
    <w:p w14:paraId="32612851" w14:textId="77777777" w:rsidR="003B31ED" w:rsidRPr="00635A6A" w:rsidRDefault="003B31ED">
      <w:pPr>
        <w:pStyle w:val="Standard"/>
        <w:rPr>
          <w:b/>
        </w:rPr>
      </w:pPr>
    </w:p>
    <w:p w14:paraId="54547D9F" w14:textId="77777777" w:rsidR="003B31ED" w:rsidRPr="00635A6A" w:rsidRDefault="003B31ED">
      <w:pPr>
        <w:pStyle w:val="Standard"/>
        <w:rPr>
          <w:b/>
        </w:rPr>
      </w:pPr>
    </w:p>
    <w:p w14:paraId="48642091" w14:textId="7CD39E00" w:rsidR="003B31ED" w:rsidRPr="00635A6A" w:rsidRDefault="006F0BDA" w:rsidP="006F0BDA">
      <w:pPr>
        <w:pStyle w:val="Standard"/>
        <w:jc w:val="center"/>
        <w:rPr>
          <w:b/>
        </w:rPr>
      </w:pPr>
      <w:r w:rsidRPr="00635A6A">
        <w:rPr>
          <w:b/>
        </w:rPr>
        <w:t xml:space="preserve">4. </w:t>
      </w:r>
      <w:r w:rsidR="00641AB2" w:rsidRPr="00635A6A">
        <w:rPr>
          <w:b/>
        </w:rPr>
        <w:t>Záró rendelkezések</w:t>
      </w:r>
    </w:p>
    <w:p w14:paraId="4442326B" w14:textId="77777777" w:rsidR="003B31ED" w:rsidRPr="00635A6A" w:rsidRDefault="003B31ED">
      <w:pPr>
        <w:pStyle w:val="Textbody"/>
        <w:jc w:val="center"/>
        <w:rPr>
          <w:b/>
        </w:rPr>
      </w:pPr>
    </w:p>
    <w:p w14:paraId="00F29C81" w14:textId="790B5279" w:rsidR="003B31ED" w:rsidRPr="00635A6A" w:rsidRDefault="006F0BDA" w:rsidP="006F0BDA">
      <w:pPr>
        <w:pStyle w:val="Standard"/>
        <w:jc w:val="both"/>
      </w:pPr>
      <w:r w:rsidRPr="00635A6A">
        <w:rPr>
          <w:b/>
          <w:bCs/>
        </w:rPr>
        <w:t>7. §</w:t>
      </w:r>
      <w:r w:rsidRPr="00635A6A">
        <w:t xml:space="preserve"> </w:t>
      </w:r>
      <w:r w:rsidR="00641AB2" w:rsidRPr="00635A6A">
        <w:t>Ez a rendelet a kihirdetését követő napon l</w:t>
      </w:r>
      <w:r w:rsidR="000F6545" w:rsidRPr="00635A6A">
        <w:t>ép hatályba, rendelkezéseit 202</w:t>
      </w:r>
      <w:r w:rsidR="00611793" w:rsidRPr="00635A6A">
        <w:t>5</w:t>
      </w:r>
      <w:r w:rsidR="00641AB2" w:rsidRPr="00635A6A">
        <w:t>. január 1-jétől kell alkalmazni.</w:t>
      </w:r>
    </w:p>
    <w:p w14:paraId="2667D2E8" w14:textId="77777777" w:rsidR="003B31ED" w:rsidRPr="00635A6A" w:rsidRDefault="003B31ED">
      <w:pPr>
        <w:pStyle w:val="Listaszerbekezds"/>
        <w:ind w:left="0"/>
        <w:jc w:val="both"/>
      </w:pPr>
    </w:p>
    <w:p w14:paraId="7812CFFE" w14:textId="77777777" w:rsidR="003B31ED" w:rsidRPr="00635A6A" w:rsidRDefault="003B31ED">
      <w:pPr>
        <w:pStyle w:val="Standard"/>
      </w:pPr>
    </w:p>
    <w:p w14:paraId="04C22895" w14:textId="77777777" w:rsidR="003B31ED" w:rsidRPr="00635A6A" w:rsidRDefault="003B31ED">
      <w:pPr>
        <w:pStyle w:val="Standard"/>
      </w:pPr>
    </w:p>
    <w:p w14:paraId="279B7F6C" w14:textId="77777777" w:rsidR="003B31ED" w:rsidRPr="00635A6A" w:rsidRDefault="003B31ED">
      <w:pPr>
        <w:pStyle w:val="Standard"/>
      </w:pPr>
    </w:p>
    <w:tbl>
      <w:tblPr>
        <w:tblW w:w="8930" w:type="dxa"/>
        <w:jc w:val="center"/>
        <w:tblLayout w:type="fixed"/>
        <w:tblCellMar>
          <w:left w:w="10" w:type="dxa"/>
          <w:right w:w="10" w:type="dxa"/>
        </w:tblCellMar>
        <w:tblLook w:val="0000" w:firstRow="0" w:lastRow="0" w:firstColumn="0" w:lastColumn="0" w:noHBand="0" w:noVBand="0"/>
      </w:tblPr>
      <w:tblGrid>
        <w:gridCol w:w="4457"/>
        <w:gridCol w:w="4473"/>
      </w:tblGrid>
      <w:tr w:rsidR="003B31ED" w:rsidRPr="00635A6A" w14:paraId="7CC575D4" w14:textId="77777777">
        <w:trPr>
          <w:jc w:val="center"/>
        </w:trPr>
        <w:tc>
          <w:tcPr>
            <w:tcW w:w="4457" w:type="dxa"/>
            <w:shd w:val="clear" w:color="auto" w:fill="auto"/>
            <w:tcMar>
              <w:top w:w="0" w:type="dxa"/>
              <w:left w:w="108" w:type="dxa"/>
              <w:bottom w:w="0" w:type="dxa"/>
              <w:right w:w="108" w:type="dxa"/>
            </w:tcMar>
          </w:tcPr>
          <w:p w14:paraId="13741AEB" w14:textId="77777777" w:rsidR="003B31ED" w:rsidRPr="00635A6A" w:rsidRDefault="00641AB2">
            <w:pPr>
              <w:pStyle w:val="Textbody"/>
              <w:spacing w:after="0"/>
              <w:jc w:val="center"/>
            </w:pPr>
            <w:r w:rsidRPr="00635A6A">
              <w:rPr>
                <w:b/>
              </w:rPr>
              <w:t>Dr. Dobi Csaba</w:t>
            </w:r>
          </w:p>
        </w:tc>
        <w:tc>
          <w:tcPr>
            <w:tcW w:w="4472" w:type="dxa"/>
            <w:shd w:val="clear" w:color="auto" w:fill="auto"/>
            <w:tcMar>
              <w:top w:w="0" w:type="dxa"/>
              <w:left w:w="108" w:type="dxa"/>
              <w:bottom w:w="0" w:type="dxa"/>
              <w:right w:w="108" w:type="dxa"/>
            </w:tcMar>
          </w:tcPr>
          <w:p w14:paraId="68396430" w14:textId="77777777" w:rsidR="003B31ED" w:rsidRPr="00635A6A" w:rsidRDefault="00641AB2">
            <w:pPr>
              <w:pStyle w:val="Textbody"/>
              <w:spacing w:after="0"/>
              <w:jc w:val="center"/>
            </w:pPr>
            <w:r w:rsidRPr="00635A6A">
              <w:rPr>
                <w:b/>
              </w:rPr>
              <w:t>Pajna Zoltán</w:t>
            </w:r>
          </w:p>
        </w:tc>
      </w:tr>
      <w:tr w:rsidR="003B31ED" w14:paraId="34B9BCE4" w14:textId="77777777">
        <w:trPr>
          <w:jc w:val="center"/>
        </w:trPr>
        <w:tc>
          <w:tcPr>
            <w:tcW w:w="4457" w:type="dxa"/>
            <w:shd w:val="clear" w:color="auto" w:fill="auto"/>
            <w:tcMar>
              <w:top w:w="0" w:type="dxa"/>
              <w:left w:w="108" w:type="dxa"/>
              <w:bottom w:w="0" w:type="dxa"/>
              <w:right w:w="108" w:type="dxa"/>
            </w:tcMar>
          </w:tcPr>
          <w:p w14:paraId="3E46318A" w14:textId="77777777" w:rsidR="003B31ED" w:rsidRPr="00635A6A" w:rsidRDefault="00641AB2">
            <w:pPr>
              <w:pStyle w:val="Textbody"/>
              <w:spacing w:after="0"/>
              <w:jc w:val="center"/>
            </w:pPr>
            <w:r w:rsidRPr="00635A6A">
              <w:rPr>
                <w:b/>
              </w:rPr>
              <w:t>jegyző</w:t>
            </w:r>
          </w:p>
        </w:tc>
        <w:tc>
          <w:tcPr>
            <w:tcW w:w="4472" w:type="dxa"/>
            <w:shd w:val="clear" w:color="auto" w:fill="auto"/>
            <w:tcMar>
              <w:top w:w="0" w:type="dxa"/>
              <w:left w:w="108" w:type="dxa"/>
              <w:bottom w:w="0" w:type="dxa"/>
              <w:right w:w="108" w:type="dxa"/>
            </w:tcMar>
          </w:tcPr>
          <w:p w14:paraId="25E747C9" w14:textId="49C703EC" w:rsidR="003B31ED" w:rsidRDefault="00641AB2">
            <w:pPr>
              <w:pStyle w:val="Textbody"/>
              <w:spacing w:after="0"/>
              <w:jc w:val="center"/>
            </w:pPr>
            <w:r w:rsidRPr="00635A6A">
              <w:rPr>
                <w:b/>
              </w:rPr>
              <w:t xml:space="preserve">a </w:t>
            </w:r>
            <w:r w:rsidR="005A58A2" w:rsidRPr="00635A6A">
              <w:rPr>
                <w:b/>
              </w:rPr>
              <w:t>vár</w:t>
            </w:r>
            <w:r w:rsidRPr="00635A6A">
              <w:rPr>
                <w:b/>
              </w:rPr>
              <w:t>megyei közgyűlés elnöke</w:t>
            </w:r>
          </w:p>
        </w:tc>
      </w:tr>
    </w:tbl>
    <w:p w14:paraId="54904C9F" w14:textId="77777777" w:rsidR="003B31ED" w:rsidRDefault="003B31ED">
      <w:pPr>
        <w:pStyle w:val="Standard"/>
        <w:jc w:val="both"/>
      </w:pPr>
    </w:p>
    <w:sectPr w:rsidR="003B31ED">
      <w:headerReference w:type="default" r:id="rId9"/>
      <w:pgSz w:w="11906" w:h="16838"/>
      <w:pgMar w:top="993" w:right="1558" w:bottom="993"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042A7" w14:textId="77777777" w:rsidR="00C44E1A" w:rsidRDefault="00C44E1A">
      <w:r>
        <w:separator/>
      </w:r>
    </w:p>
  </w:endnote>
  <w:endnote w:type="continuationSeparator" w:id="0">
    <w:p w14:paraId="70C3D512" w14:textId="77777777" w:rsidR="00C44E1A" w:rsidRDefault="00C4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0FD8E" w14:textId="77777777" w:rsidR="00C44E1A" w:rsidRDefault="00C44E1A">
      <w:r>
        <w:rPr>
          <w:color w:val="000000"/>
        </w:rPr>
        <w:separator/>
      </w:r>
    </w:p>
  </w:footnote>
  <w:footnote w:type="continuationSeparator" w:id="0">
    <w:p w14:paraId="6F109FF5" w14:textId="77777777" w:rsidR="00C44E1A" w:rsidRDefault="00C44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711401"/>
      <w:docPartObj>
        <w:docPartGallery w:val="Page Numbers (Top of Page)"/>
        <w:docPartUnique/>
      </w:docPartObj>
    </w:sdtPr>
    <w:sdtEndPr/>
    <w:sdtContent>
      <w:p w14:paraId="1F4401B7" w14:textId="71F0076D" w:rsidR="00651EC8" w:rsidRDefault="00651EC8">
        <w:pPr>
          <w:pStyle w:val="lfej"/>
          <w:jc w:val="center"/>
        </w:pPr>
        <w:r>
          <w:fldChar w:fldCharType="begin"/>
        </w:r>
        <w:r>
          <w:instrText>PAGE   \* MERGEFORMAT</w:instrText>
        </w:r>
        <w:r>
          <w:fldChar w:fldCharType="separate"/>
        </w:r>
        <w:r w:rsidR="00751E4A">
          <w:rPr>
            <w:noProof/>
          </w:rPr>
          <w:t>13</w:t>
        </w:r>
        <w:r>
          <w:fldChar w:fldCharType="end"/>
        </w:r>
      </w:p>
    </w:sdtContent>
  </w:sdt>
  <w:p w14:paraId="0B71D5F0" w14:textId="23CD8A6B" w:rsidR="00AE4B01" w:rsidRDefault="00AE4B0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5D16"/>
    <w:multiLevelType w:val="multilevel"/>
    <w:tmpl w:val="9A96F22E"/>
    <w:styleLink w:val="WWNum14"/>
    <w:lvl w:ilvl="0">
      <w:start w:val="1"/>
      <w:numFmt w:val="decimal"/>
      <w:lvlText w:val="(%1)"/>
      <w:lvlJc w:val="left"/>
      <w:pPr>
        <w:ind w:left="360" w:hanging="360"/>
      </w:pPr>
      <w:rPr>
        <w:b w:val="0"/>
        <w:i w:val="0"/>
      </w:rPr>
    </w:lvl>
    <w:lvl w:ilvl="1">
      <w:numFmt w:val="bullet"/>
      <w:lvlText w:val="-"/>
      <w:lvlJc w:val="left"/>
      <w:pPr>
        <w:ind w:left="1440" w:hanging="360"/>
      </w:pPr>
      <w:rPr>
        <w:rFonts w:ascii="Courier New" w:hAnsi="Courier New"/>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1E62DA"/>
    <w:multiLevelType w:val="multilevel"/>
    <w:tmpl w:val="235A8D9A"/>
    <w:styleLink w:val="WWNum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C20CC"/>
    <w:multiLevelType w:val="multilevel"/>
    <w:tmpl w:val="F91EA8D4"/>
    <w:styleLink w:val="WWNum3"/>
    <w:lvl w:ilvl="0">
      <w:start w:val="1"/>
      <w:numFmt w:val="decimal"/>
      <w:lvlText w:val="(%1)"/>
      <w:lvlJc w:val="left"/>
      <w:pPr>
        <w:ind w:left="360" w:hanging="360"/>
      </w:pPr>
      <w:rPr>
        <w:b w:val="0"/>
        <w:i w:val="0"/>
      </w:rPr>
    </w:lvl>
    <w:lvl w:ilvl="1">
      <w:numFmt w:val="bullet"/>
      <w:lvlText w:val="-"/>
      <w:lvlJc w:val="left"/>
      <w:pPr>
        <w:ind w:left="1440" w:hanging="360"/>
      </w:pPr>
      <w:rPr>
        <w:rFonts w:ascii="Courier New" w:hAnsi="Courier New"/>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2D05B1"/>
    <w:multiLevelType w:val="multilevel"/>
    <w:tmpl w:val="FF9EE46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0E1BDD"/>
    <w:multiLevelType w:val="multilevel"/>
    <w:tmpl w:val="4B3E0164"/>
    <w:styleLink w:val="WWNum16"/>
    <w:lvl w:ilvl="0">
      <w:numFmt w:val="bullet"/>
      <w:lvlText w:val="-"/>
      <w:lvlJc w:val="left"/>
      <w:pPr>
        <w:ind w:left="4275" w:hanging="360"/>
      </w:pPr>
      <w:rPr>
        <w:rFonts w:eastAsia="Times New Roman"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5" w15:restartNumberingAfterBreak="0">
    <w:nsid w:val="0D3D0E90"/>
    <w:multiLevelType w:val="multilevel"/>
    <w:tmpl w:val="95A45206"/>
    <w:styleLink w:val="WWNum6"/>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076356"/>
    <w:multiLevelType w:val="multilevel"/>
    <w:tmpl w:val="5DD2C1CE"/>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B40B88"/>
    <w:multiLevelType w:val="multilevel"/>
    <w:tmpl w:val="41364624"/>
    <w:styleLink w:val="WWNum10"/>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B830D0"/>
    <w:multiLevelType w:val="multilevel"/>
    <w:tmpl w:val="AFA00108"/>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16502D"/>
    <w:multiLevelType w:val="multilevel"/>
    <w:tmpl w:val="29785806"/>
    <w:styleLink w:val="WWNum8"/>
    <w:lvl w:ilvl="0">
      <w:start w:val="1"/>
      <w:numFmt w:val="lowerLetter"/>
      <w:lvlText w:val="%1)"/>
      <w:lvlJc w:val="left"/>
      <w:pPr>
        <w:ind w:left="480" w:hanging="360"/>
      </w:pPr>
      <w:rPr>
        <w:rFonts w:eastAsia="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4430659"/>
    <w:multiLevelType w:val="multilevel"/>
    <w:tmpl w:val="65D86698"/>
    <w:styleLink w:val="WWNum2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6B4FE5"/>
    <w:multiLevelType w:val="multilevel"/>
    <w:tmpl w:val="8D1006BA"/>
    <w:styleLink w:val="WWNum12"/>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7D5D9A"/>
    <w:multiLevelType w:val="multilevel"/>
    <w:tmpl w:val="46D004A2"/>
    <w:styleLink w:val="WWNum13"/>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A07CA9"/>
    <w:multiLevelType w:val="multilevel"/>
    <w:tmpl w:val="5F86EECC"/>
    <w:styleLink w:val="N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132756B"/>
    <w:multiLevelType w:val="multilevel"/>
    <w:tmpl w:val="D6C61C36"/>
    <w:styleLink w:val="WWNum27"/>
    <w:lvl w:ilvl="0">
      <w:numFmt w:val="bullet"/>
      <w:lvlText w:val="-"/>
      <w:lvlJc w:val="left"/>
      <w:pPr>
        <w:ind w:left="1065" w:hanging="360"/>
      </w:pPr>
      <w:rPr>
        <w:rFonts w:eastAsia="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5" w15:restartNumberingAfterBreak="0">
    <w:nsid w:val="35BC2B66"/>
    <w:multiLevelType w:val="multilevel"/>
    <w:tmpl w:val="6930DB9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0D6024"/>
    <w:multiLevelType w:val="hybridMultilevel"/>
    <w:tmpl w:val="51C0B114"/>
    <w:lvl w:ilvl="0" w:tplc="51D49478">
      <w:start w:val="1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7BF6B34"/>
    <w:multiLevelType w:val="multilevel"/>
    <w:tmpl w:val="EAA6921C"/>
    <w:styleLink w:val="WWNum31"/>
    <w:lvl w:ilvl="0">
      <w:numFmt w:val="bullet"/>
      <w:lvlText w:val=""/>
      <w:lvlJc w:val="left"/>
      <w:pPr>
        <w:ind w:left="1065" w:hanging="360"/>
      </w:pPr>
      <w:rPr>
        <w:rFonts w:ascii="Wingdings" w:hAnsi="Wingdings"/>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8" w15:restartNumberingAfterBreak="0">
    <w:nsid w:val="4111789E"/>
    <w:multiLevelType w:val="multilevel"/>
    <w:tmpl w:val="1234D686"/>
    <w:styleLink w:val="WWNum1"/>
    <w:lvl w:ilvl="0">
      <w:start w:val="1"/>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55452E"/>
    <w:multiLevelType w:val="multilevel"/>
    <w:tmpl w:val="8AFED5E8"/>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51571DB"/>
    <w:multiLevelType w:val="multilevel"/>
    <w:tmpl w:val="678E1684"/>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C4D6CFE"/>
    <w:multiLevelType w:val="multilevel"/>
    <w:tmpl w:val="4920CE0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EE3352"/>
    <w:multiLevelType w:val="multilevel"/>
    <w:tmpl w:val="FE26A544"/>
    <w:styleLink w:val="WWNum23"/>
    <w:lvl w:ilvl="0">
      <w:start w:val="1"/>
      <w:numFmt w:val="lowerLetter"/>
      <w:lvlText w:val="%1)"/>
      <w:lvlJc w:val="left"/>
      <w:pPr>
        <w:ind w:left="786" w:hanging="360"/>
      </w:pPr>
      <w:rPr>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4F09487B"/>
    <w:multiLevelType w:val="multilevel"/>
    <w:tmpl w:val="A9EA068C"/>
    <w:styleLink w:val="WWNum7"/>
    <w:lvl w:ilvl="0">
      <w:numFmt w:val="bullet"/>
      <w:lvlText w:val=""/>
      <w:lvlJc w:val="left"/>
      <w:pPr>
        <w:ind w:left="360" w:hanging="360"/>
      </w:pPr>
      <w:rPr>
        <w:rFonts w:ascii="Symbol" w:hAnsi="Symbol"/>
      </w:rPr>
    </w:lvl>
    <w:lvl w:ilvl="1">
      <w:numFmt w:val="bullet"/>
      <w:lvlText w:val="o"/>
      <w:lvlJc w:val="left"/>
      <w:pPr>
        <w:ind w:left="739" w:hanging="360"/>
      </w:pPr>
      <w:rPr>
        <w:rFonts w:ascii="Courier New" w:hAnsi="Courier New" w:cs="Courier New"/>
      </w:rPr>
    </w:lvl>
    <w:lvl w:ilvl="2">
      <w:numFmt w:val="bullet"/>
      <w:lvlText w:val=""/>
      <w:lvlJc w:val="left"/>
      <w:pPr>
        <w:ind w:left="1459" w:hanging="360"/>
      </w:pPr>
      <w:rPr>
        <w:rFonts w:ascii="Wingdings" w:hAnsi="Wingdings"/>
      </w:rPr>
    </w:lvl>
    <w:lvl w:ilvl="3">
      <w:numFmt w:val="bullet"/>
      <w:lvlText w:val=""/>
      <w:lvlJc w:val="left"/>
      <w:pPr>
        <w:ind w:left="2179" w:hanging="360"/>
      </w:pPr>
      <w:rPr>
        <w:rFonts w:ascii="Symbol" w:hAnsi="Symbol"/>
      </w:rPr>
    </w:lvl>
    <w:lvl w:ilvl="4">
      <w:numFmt w:val="bullet"/>
      <w:lvlText w:val="o"/>
      <w:lvlJc w:val="left"/>
      <w:pPr>
        <w:ind w:left="2899" w:hanging="360"/>
      </w:pPr>
      <w:rPr>
        <w:rFonts w:ascii="Courier New" w:hAnsi="Courier New" w:cs="Courier New"/>
      </w:rPr>
    </w:lvl>
    <w:lvl w:ilvl="5">
      <w:numFmt w:val="bullet"/>
      <w:lvlText w:val=""/>
      <w:lvlJc w:val="left"/>
      <w:pPr>
        <w:ind w:left="3619" w:hanging="360"/>
      </w:pPr>
      <w:rPr>
        <w:rFonts w:ascii="Wingdings" w:hAnsi="Wingdings"/>
      </w:rPr>
    </w:lvl>
    <w:lvl w:ilvl="6">
      <w:numFmt w:val="bullet"/>
      <w:lvlText w:val=""/>
      <w:lvlJc w:val="left"/>
      <w:pPr>
        <w:ind w:left="4339" w:hanging="360"/>
      </w:pPr>
      <w:rPr>
        <w:rFonts w:ascii="Symbol" w:hAnsi="Symbol"/>
      </w:rPr>
    </w:lvl>
    <w:lvl w:ilvl="7">
      <w:numFmt w:val="bullet"/>
      <w:lvlText w:val="o"/>
      <w:lvlJc w:val="left"/>
      <w:pPr>
        <w:ind w:left="5059" w:hanging="360"/>
      </w:pPr>
      <w:rPr>
        <w:rFonts w:ascii="Courier New" w:hAnsi="Courier New" w:cs="Courier New"/>
      </w:rPr>
    </w:lvl>
    <w:lvl w:ilvl="8">
      <w:numFmt w:val="bullet"/>
      <w:lvlText w:val=""/>
      <w:lvlJc w:val="left"/>
      <w:pPr>
        <w:ind w:left="5779" w:hanging="360"/>
      </w:pPr>
      <w:rPr>
        <w:rFonts w:ascii="Wingdings" w:hAnsi="Wingdings"/>
      </w:rPr>
    </w:lvl>
  </w:abstractNum>
  <w:abstractNum w:abstractNumId="24" w15:restartNumberingAfterBreak="0">
    <w:nsid w:val="5D4A171F"/>
    <w:multiLevelType w:val="multilevel"/>
    <w:tmpl w:val="7B365F82"/>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F245A5"/>
    <w:multiLevelType w:val="hybridMultilevel"/>
    <w:tmpl w:val="127A3B6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15:restartNumberingAfterBreak="0">
    <w:nsid w:val="654C705A"/>
    <w:multiLevelType w:val="multilevel"/>
    <w:tmpl w:val="F53227B0"/>
    <w:styleLink w:val="WWNum29"/>
    <w:lvl w:ilvl="0">
      <w:numFmt w:val="bullet"/>
      <w:lvlText w:val="-"/>
      <w:lvlJc w:val="left"/>
      <w:pPr>
        <w:ind w:left="720" w:hanging="360"/>
      </w:pPr>
      <w:rPr>
        <w:rFonts w:eastAsia="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CD20333"/>
    <w:multiLevelType w:val="multilevel"/>
    <w:tmpl w:val="D0E8FD12"/>
    <w:styleLink w:val="WWNum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E7B2C89"/>
    <w:multiLevelType w:val="multilevel"/>
    <w:tmpl w:val="9E7EF07C"/>
    <w:styleLink w:val="WWNum15"/>
    <w:lvl w:ilvl="0">
      <w:numFmt w:val="bullet"/>
      <w:lvlText w:val="-"/>
      <w:lvlJc w:val="left"/>
      <w:pPr>
        <w:ind w:left="4275" w:hanging="360"/>
      </w:pPr>
      <w:rPr>
        <w:rFonts w:eastAsia="Times New Roman"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9" w15:restartNumberingAfterBreak="0">
    <w:nsid w:val="74F653D5"/>
    <w:multiLevelType w:val="multilevel"/>
    <w:tmpl w:val="93B85F16"/>
    <w:styleLink w:val="WWNum17"/>
    <w:lvl w:ilvl="0">
      <w:numFmt w:val="bullet"/>
      <w:lvlText w:val="-"/>
      <w:lvlJc w:val="left"/>
      <w:pPr>
        <w:ind w:left="3195" w:hanging="360"/>
      </w:pPr>
      <w:rPr>
        <w:rFonts w:eastAsia="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8B22960"/>
    <w:multiLevelType w:val="multilevel"/>
    <w:tmpl w:val="1BA26CE4"/>
    <w:styleLink w:val="WWNum5"/>
    <w:lvl w:ilvl="0">
      <w:numFmt w:val="bullet"/>
      <w:lvlText w:val="-"/>
      <w:lvlJc w:val="left"/>
      <w:pPr>
        <w:ind w:left="360" w:hanging="360"/>
      </w:pPr>
      <w:rPr>
        <w:rFonts w:eastAsia="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9E76CBA"/>
    <w:multiLevelType w:val="multilevel"/>
    <w:tmpl w:val="BCCA0948"/>
    <w:styleLink w:val="WWNum25"/>
    <w:lvl w:ilvl="0">
      <w:numFmt w:val="bullet"/>
      <w:lvlText w:val="-"/>
      <w:lvlJc w:val="left"/>
      <w:pPr>
        <w:ind w:left="720" w:hanging="360"/>
      </w:pPr>
      <w:rPr>
        <w:rFonts w:eastAsia="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A1B23EF"/>
    <w:multiLevelType w:val="multilevel"/>
    <w:tmpl w:val="683A084E"/>
    <w:styleLink w:val="WWNum11"/>
    <w:lvl w:ilvl="0">
      <w:start w:val="1"/>
      <w:numFmt w:val="decimal"/>
      <w:lvlText w:val="(%1)"/>
      <w:lvlJc w:val="left"/>
      <w:pPr>
        <w:ind w:left="360" w:hanging="360"/>
      </w:pPr>
      <w:rPr>
        <w:b w:val="0"/>
        <w:i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F23D69"/>
    <w:multiLevelType w:val="multilevel"/>
    <w:tmpl w:val="63D8C040"/>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45055648">
    <w:abstractNumId w:val="13"/>
  </w:num>
  <w:num w:numId="2" w16cid:durableId="1591692587">
    <w:abstractNumId w:val="18"/>
  </w:num>
  <w:num w:numId="3" w16cid:durableId="1908762190">
    <w:abstractNumId w:val="33"/>
  </w:num>
  <w:num w:numId="4" w16cid:durableId="56516133">
    <w:abstractNumId w:val="2"/>
  </w:num>
  <w:num w:numId="5" w16cid:durableId="1482847410">
    <w:abstractNumId w:val="3"/>
  </w:num>
  <w:num w:numId="6" w16cid:durableId="1953593151">
    <w:abstractNumId w:val="30"/>
  </w:num>
  <w:num w:numId="7" w16cid:durableId="1792285129">
    <w:abstractNumId w:val="5"/>
  </w:num>
  <w:num w:numId="8" w16cid:durableId="1957827972">
    <w:abstractNumId w:val="23"/>
  </w:num>
  <w:num w:numId="9" w16cid:durableId="1614247823">
    <w:abstractNumId w:val="9"/>
  </w:num>
  <w:num w:numId="10" w16cid:durableId="2094625668">
    <w:abstractNumId w:val="1"/>
  </w:num>
  <w:num w:numId="11" w16cid:durableId="1686176676">
    <w:abstractNumId w:val="7"/>
  </w:num>
  <w:num w:numId="12" w16cid:durableId="2032535003">
    <w:abstractNumId w:val="32"/>
  </w:num>
  <w:num w:numId="13" w16cid:durableId="1363436578">
    <w:abstractNumId w:val="11"/>
  </w:num>
  <w:num w:numId="14" w16cid:durableId="416555407">
    <w:abstractNumId w:val="12"/>
  </w:num>
  <w:num w:numId="15" w16cid:durableId="1195119086">
    <w:abstractNumId w:val="0"/>
  </w:num>
  <w:num w:numId="16" w16cid:durableId="564992765">
    <w:abstractNumId w:val="28"/>
  </w:num>
  <w:num w:numId="17" w16cid:durableId="1270430133">
    <w:abstractNumId w:val="4"/>
  </w:num>
  <w:num w:numId="18" w16cid:durableId="2038115629">
    <w:abstractNumId w:val="29"/>
  </w:num>
  <w:num w:numId="19" w16cid:durableId="1087728324">
    <w:abstractNumId w:val="21"/>
  </w:num>
  <w:num w:numId="20" w16cid:durableId="516308567">
    <w:abstractNumId w:val="15"/>
  </w:num>
  <w:num w:numId="21" w16cid:durableId="1603954334">
    <w:abstractNumId w:val="24"/>
  </w:num>
  <w:num w:numId="22" w16cid:durableId="690642367">
    <w:abstractNumId w:val="6"/>
  </w:num>
  <w:num w:numId="23" w16cid:durableId="734477001">
    <w:abstractNumId w:val="10"/>
  </w:num>
  <w:num w:numId="24" w16cid:durableId="202522753">
    <w:abstractNumId w:val="22"/>
  </w:num>
  <w:num w:numId="25" w16cid:durableId="647325817">
    <w:abstractNumId w:val="19"/>
  </w:num>
  <w:num w:numId="26" w16cid:durableId="874080054">
    <w:abstractNumId w:val="31"/>
  </w:num>
  <w:num w:numId="27" w16cid:durableId="626855648">
    <w:abstractNumId w:val="27"/>
  </w:num>
  <w:num w:numId="28" w16cid:durableId="1661737687">
    <w:abstractNumId w:val="14"/>
  </w:num>
  <w:num w:numId="29" w16cid:durableId="1062558751">
    <w:abstractNumId w:val="8"/>
  </w:num>
  <w:num w:numId="30" w16cid:durableId="2054233671">
    <w:abstractNumId w:val="26"/>
  </w:num>
  <w:num w:numId="31" w16cid:durableId="652178640">
    <w:abstractNumId w:val="20"/>
  </w:num>
  <w:num w:numId="32" w16cid:durableId="1881700924">
    <w:abstractNumId w:val="17"/>
  </w:num>
  <w:num w:numId="33" w16cid:durableId="58405761">
    <w:abstractNumId w:val="17"/>
  </w:num>
  <w:num w:numId="34" w16cid:durableId="840438158">
    <w:abstractNumId w:val="23"/>
  </w:num>
  <w:num w:numId="35" w16cid:durableId="1643850633">
    <w:abstractNumId w:val="6"/>
    <w:lvlOverride w:ilvl="0">
      <w:startOverride w:val="1"/>
      <w:lvl w:ilvl="0">
        <w:start w:val="1"/>
        <w:numFmt w:val="decimal"/>
        <w:lvlText w:val="%1."/>
        <w:lvlJc w:val="left"/>
        <w:pPr>
          <w:ind w:left="720" w:hanging="360"/>
        </w:pPr>
        <w:rPr>
          <w:bCs/>
        </w:rPr>
      </w:lvl>
    </w:lvlOverride>
  </w:num>
  <w:num w:numId="36" w16cid:durableId="1409116846">
    <w:abstractNumId w:val="33"/>
    <w:lvlOverride w:ilvl="0">
      <w:startOverride w:val="1"/>
    </w:lvlOverride>
  </w:num>
  <w:num w:numId="37" w16cid:durableId="839809449">
    <w:abstractNumId w:val="3"/>
    <w:lvlOverride w:ilvl="0">
      <w:startOverride w:val="1"/>
    </w:lvlOverride>
  </w:num>
  <w:num w:numId="38" w16cid:durableId="1851871130">
    <w:abstractNumId w:val="18"/>
    <w:lvlOverride w:ilvl="0">
      <w:startOverride w:val="1"/>
    </w:lvlOverride>
  </w:num>
  <w:num w:numId="39" w16cid:durableId="504365682">
    <w:abstractNumId w:val="8"/>
    <w:lvlOverride w:ilvl="0">
      <w:startOverride w:val="1"/>
    </w:lvlOverride>
  </w:num>
  <w:num w:numId="40" w16cid:durableId="1588733088">
    <w:abstractNumId w:val="10"/>
    <w:lvlOverride w:ilvl="0">
      <w:startOverride w:val="3"/>
    </w:lvlOverride>
  </w:num>
  <w:num w:numId="41" w16cid:durableId="1147434769">
    <w:abstractNumId w:val="7"/>
    <w:lvlOverride w:ilvl="0">
      <w:startOverride w:val="1"/>
    </w:lvlOverride>
  </w:num>
  <w:num w:numId="42" w16cid:durableId="1811097421">
    <w:abstractNumId w:val="32"/>
    <w:lvlOverride w:ilvl="0">
      <w:startOverride w:val="1"/>
    </w:lvlOverride>
  </w:num>
  <w:num w:numId="43" w16cid:durableId="1457069248">
    <w:abstractNumId w:val="16"/>
  </w:num>
  <w:num w:numId="44" w16cid:durableId="944021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1ED"/>
    <w:rsid w:val="000017C7"/>
    <w:rsid w:val="0000442B"/>
    <w:rsid w:val="000142AA"/>
    <w:rsid w:val="000273EC"/>
    <w:rsid w:val="00036471"/>
    <w:rsid w:val="000367C3"/>
    <w:rsid w:val="000433DC"/>
    <w:rsid w:val="00053D18"/>
    <w:rsid w:val="00057219"/>
    <w:rsid w:val="00071C01"/>
    <w:rsid w:val="000735E7"/>
    <w:rsid w:val="00081D3C"/>
    <w:rsid w:val="00085B1D"/>
    <w:rsid w:val="000A3B9D"/>
    <w:rsid w:val="000A6B07"/>
    <w:rsid w:val="000B002A"/>
    <w:rsid w:val="000D32FB"/>
    <w:rsid w:val="000F48F0"/>
    <w:rsid w:val="000F6545"/>
    <w:rsid w:val="00103021"/>
    <w:rsid w:val="0012202C"/>
    <w:rsid w:val="0013060D"/>
    <w:rsid w:val="0013284E"/>
    <w:rsid w:val="001362AA"/>
    <w:rsid w:val="0014689A"/>
    <w:rsid w:val="001475E1"/>
    <w:rsid w:val="001607E0"/>
    <w:rsid w:val="00160FB1"/>
    <w:rsid w:val="001974AE"/>
    <w:rsid w:val="001A07D9"/>
    <w:rsid w:val="001A2511"/>
    <w:rsid w:val="001B39AD"/>
    <w:rsid w:val="001C3E30"/>
    <w:rsid w:val="001C6ED6"/>
    <w:rsid w:val="001D1055"/>
    <w:rsid w:val="001E58E8"/>
    <w:rsid w:val="00201D8B"/>
    <w:rsid w:val="00202A81"/>
    <w:rsid w:val="002076EC"/>
    <w:rsid w:val="00225B5C"/>
    <w:rsid w:val="002306C2"/>
    <w:rsid w:val="00247C7D"/>
    <w:rsid w:val="00265959"/>
    <w:rsid w:val="00265CF7"/>
    <w:rsid w:val="00270C97"/>
    <w:rsid w:val="00273695"/>
    <w:rsid w:val="00276882"/>
    <w:rsid w:val="00291A70"/>
    <w:rsid w:val="00293DDB"/>
    <w:rsid w:val="00297B79"/>
    <w:rsid w:val="002B5380"/>
    <w:rsid w:val="002E12AD"/>
    <w:rsid w:val="002F798C"/>
    <w:rsid w:val="003036EC"/>
    <w:rsid w:val="00320326"/>
    <w:rsid w:val="003275D6"/>
    <w:rsid w:val="00334C0C"/>
    <w:rsid w:val="0035348A"/>
    <w:rsid w:val="00383C31"/>
    <w:rsid w:val="00392BD1"/>
    <w:rsid w:val="003B31ED"/>
    <w:rsid w:val="003B7A97"/>
    <w:rsid w:val="003C58FD"/>
    <w:rsid w:val="003C73AC"/>
    <w:rsid w:val="003E14CD"/>
    <w:rsid w:val="003F3153"/>
    <w:rsid w:val="003F654F"/>
    <w:rsid w:val="00421028"/>
    <w:rsid w:val="00425FA9"/>
    <w:rsid w:val="00445455"/>
    <w:rsid w:val="00451883"/>
    <w:rsid w:val="00460C60"/>
    <w:rsid w:val="0046552F"/>
    <w:rsid w:val="00483349"/>
    <w:rsid w:val="0048523B"/>
    <w:rsid w:val="004B5D15"/>
    <w:rsid w:val="004C195E"/>
    <w:rsid w:val="004C66DD"/>
    <w:rsid w:val="004E76BC"/>
    <w:rsid w:val="004F2A63"/>
    <w:rsid w:val="004F4E0E"/>
    <w:rsid w:val="00513533"/>
    <w:rsid w:val="005149CA"/>
    <w:rsid w:val="00517FDF"/>
    <w:rsid w:val="00527764"/>
    <w:rsid w:val="00551F64"/>
    <w:rsid w:val="00566B7F"/>
    <w:rsid w:val="00594A91"/>
    <w:rsid w:val="005A58A2"/>
    <w:rsid w:val="005A690C"/>
    <w:rsid w:val="005C6F09"/>
    <w:rsid w:val="005D4CB4"/>
    <w:rsid w:val="005E42BC"/>
    <w:rsid w:val="005F623E"/>
    <w:rsid w:val="006077AE"/>
    <w:rsid w:val="00610238"/>
    <w:rsid w:val="00611793"/>
    <w:rsid w:val="00611906"/>
    <w:rsid w:val="00612B26"/>
    <w:rsid w:val="00635A6A"/>
    <w:rsid w:val="00641AB2"/>
    <w:rsid w:val="00651EC8"/>
    <w:rsid w:val="00671F65"/>
    <w:rsid w:val="00673489"/>
    <w:rsid w:val="00684316"/>
    <w:rsid w:val="00686A04"/>
    <w:rsid w:val="00697CAA"/>
    <w:rsid w:val="006A2DE5"/>
    <w:rsid w:val="006C58A9"/>
    <w:rsid w:val="006D5DB9"/>
    <w:rsid w:val="006E0849"/>
    <w:rsid w:val="006E17EA"/>
    <w:rsid w:val="006F0BDA"/>
    <w:rsid w:val="006F14BB"/>
    <w:rsid w:val="00703C7D"/>
    <w:rsid w:val="0070724D"/>
    <w:rsid w:val="00732F7F"/>
    <w:rsid w:val="007366BF"/>
    <w:rsid w:val="007419D1"/>
    <w:rsid w:val="00751E4A"/>
    <w:rsid w:val="00754F07"/>
    <w:rsid w:val="0075512A"/>
    <w:rsid w:val="007620EA"/>
    <w:rsid w:val="007720F4"/>
    <w:rsid w:val="0077251A"/>
    <w:rsid w:val="00781E34"/>
    <w:rsid w:val="007A01DB"/>
    <w:rsid w:val="007B0821"/>
    <w:rsid w:val="007B0ABF"/>
    <w:rsid w:val="007B3DB8"/>
    <w:rsid w:val="007E461D"/>
    <w:rsid w:val="007E75FF"/>
    <w:rsid w:val="007F50F5"/>
    <w:rsid w:val="00803439"/>
    <w:rsid w:val="00821EAB"/>
    <w:rsid w:val="00825ECB"/>
    <w:rsid w:val="00842713"/>
    <w:rsid w:val="00846560"/>
    <w:rsid w:val="00852D89"/>
    <w:rsid w:val="00860B32"/>
    <w:rsid w:val="00867350"/>
    <w:rsid w:val="00896B4C"/>
    <w:rsid w:val="00905FA5"/>
    <w:rsid w:val="009067B8"/>
    <w:rsid w:val="0092695D"/>
    <w:rsid w:val="00931929"/>
    <w:rsid w:val="009326E9"/>
    <w:rsid w:val="009415F9"/>
    <w:rsid w:val="00947AB2"/>
    <w:rsid w:val="009757AA"/>
    <w:rsid w:val="00990A6C"/>
    <w:rsid w:val="009979DC"/>
    <w:rsid w:val="009B44B0"/>
    <w:rsid w:val="009B70D1"/>
    <w:rsid w:val="009C72C1"/>
    <w:rsid w:val="009E23F1"/>
    <w:rsid w:val="009F7C5F"/>
    <w:rsid w:val="00A007F9"/>
    <w:rsid w:val="00A07975"/>
    <w:rsid w:val="00A17705"/>
    <w:rsid w:val="00A2095D"/>
    <w:rsid w:val="00A27BA4"/>
    <w:rsid w:val="00A51A2D"/>
    <w:rsid w:val="00A96899"/>
    <w:rsid w:val="00A97508"/>
    <w:rsid w:val="00A97542"/>
    <w:rsid w:val="00AA356D"/>
    <w:rsid w:val="00AA5C53"/>
    <w:rsid w:val="00AB08BA"/>
    <w:rsid w:val="00AB46BA"/>
    <w:rsid w:val="00AB7896"/>
    <w:rsid w:val="00AD0FDC"/>
    <w:rsid w:val="00AD2BC5"/>
    <w:rsid w:val="00AE250F"/>
    <w:rsid w:val="00AE4B01"/>
    <w:rsid w:val="00B0226A"/>
    <w:rsid w:val="00B0268B"/>
    <w:rsid w:val="00B05A11"/>
    <w:rsid w:val="00B15161"/>
    <w:rsid w:val="00B1796B"/>
    <w:rsid w:val="00B22BE0"/>
    <w:rsid w:val="00B505A0"/>
    <w:rsid w:val="00B66BCC"/>
    <w:rsid w:val="00B71019"/>
    <w:rsid w:val="00B7203D"/>
    <w:rsid w:val="00B833F3"/>
    <w:rsid w:val="00B903FA"/>
    <w:rsid w:val="00BB3197"/>
    <w:rsid w:val="00C06B9D"/>
    <w:rsid w:val="00C14BE8"/>
    <w:rsid w:val="00C20C42"/>
    <w:rsid w:val="00C23763"/>
    <w:rsid w:val="00C27B1C"/>
    <w:rsid w:val="00C40647"/>
    <w:rsid w:val="00C44E1A"/>
    <w:rsid w:val="00C54D4F"/>
    <w:rsid w:val="00C732E7"/>
    <w:rsid w:val="00C76F6A"/>
    <w:rsid w:val="00CA0DA0"/>
    <w:rsid w:val="00CD2399"/>
    <w:rsid w:val="00CD337F"/>
    <w:rsid w:val="00CD5EB9"/>
    <w:rsid w:val="00CF08B3"/>
    <w:rsid w:val="00CF7B1A"/>
    <w:rsid w:val="00D04FAD"/>
    <w:rsid w:val="00D44FCC"/>
    <w:rsid w:val="00D53C41"/>
    <w:rsid w:val="00D55261"/>
    <w:rsid w:val="00D5590E"/>
    <w:rsid w:val="00D56D91"/>
    <w:rsid w:val="00D631E2"/>
    <w:rsid w:val="00D73072"/>
    <w:rsid w:val="00DB0B2D"/>
    <w:rsid w:val="00DB3234"/>
    <w:rsid w:val="00DC68B8"/>
    <w:rsid w:val="00DF6C96"/>
    <w:rsid w:val="00DF724D"/>
    <w:rsid w:val="00E01898"/>
    <w:rsid w:val="00E13085"/>
    <w:rsid w:val="00E17AB5"/>
    <w:rsid w:val="00E228FC"/>
    <w:rsid w:val="00E3153A"/>
    <w:rsid w:val="00E36EA6"/>
    <w:rsid w:val="00E46B99"/>
    <w:rsid w:val="00E54BE5"/>
    <w:rsid w:val="00E60629"/>
    <w:rsid w:val="00E6596D"/>
    <w:rsid w:val="00E74D16"/>
    <w:rsid w:val="00EA1080"/>
    <w:rsid w:val="00EB5D91"/>
    <w:rsid w:val="00EB6077"/>
    <w:rsid w:val="00EB6E49"/>
    <w:rsid w:val="00ED31F2"/>
    <w:rsid w:val="00EE1D2C"/>
    <w:rsid w:val="00EE7A5D"/>
    <w:rsid w:val="00EF1A63"/>
    <w:rsid w:val="00EF5032"/>
    <w:rsid w:val="00EF60B3"/>
    <w:rsid w:val="00EF7272"/>
    <w:rsid w:val="00F04F9B"/>
    <w:rsid w:val="00F060E5"/>
    <w:rsid w:val="00F16304"/>
    <w:rsid w:val="00F30591"/>
    <w:rsid w:val="00F32395"/>
    <w:rsid w:val="00F33526"/>
    <w:rsid w:val="00F36F8C"/>
    <w:rsid w:val="00F42891"/>
    <w:rsid w:val="00F43787"/>
    <w:rsid w:val="00F47ED5"/>
    <w:rsid w:val="00F513B0"/>
    <w:rsid w:val="00F67DC8"/>
    <w:rsid w:val="00FA2E00"/>
    <w:rsid w:val="00FA5FBA"/>
    <w:rsid w:val="00FA6D68"/>
    <w:rsid w:val="00FB14A0"/>
    <w:rsid w:val="00FC2563"/>
    <w:rsid w:val="00FC7B5F"/>
    <w:rsid w:val="00FE1CCE"/>
    <w:rsid w:val="00FE6B57"/>
    <w:rsid w:val="00FE7689"/>
    <w:rsid w:val="00FF02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21D74"/>
  <w15:docId w15:val="{A84C405C-CA32-4BDE-B935-8F6BA679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hu-HU" w:eastAsia="hu-HU"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Standard"/>
    <w:next w:val="Standard"/>
    <w:uiPriority w:val="9"/>
    <w:qFormat/>
    <w:pPr>
      <w:keepNext/>
      <w:spacing w:before="240" w:after="60"/>
      <w:outlineLvl w:val="0"/>
    </w:pPr>
    <w:rPr>
      <w:rFonts w:ascii="Arial" w:eastAsia="Arial" w:hAnsi="Arial" w:cs="Arial"/>
      <w:b/>
      <w:bCs/>
      <w:kern w:val="3"/>
      <w:sz w:val="32"/>
      <w:szCs w:val="32"/>
    </w:rPr>
  </w:style>
  <w:style w:type="paragraph" w:styleId="Cmsor2">
    <w:name w:val="heading 2"/>
    <w:basedOn w:val="Standard"/>
    <w:next w:val="Standard"/>
    <w:uiPriority w:val="9"/>
    <w:semiHidden/>
    <w:unhideWhenUsed/>
    <w:qFormat/>
    <w:pPr>
      <w:keepNext/>
      <w:spacing w:before="240" w:after="60"/>
      <w:outlineLvl w:val="1"/>
    </w:pPr>
    <w:rPr>
      <w:rFonts w:ascii="Arial" w:eastAsia="Arial" w:hAnsi="Arial" w:cs="Arial"/>
      <w:b/>
      <w:bCs/>
      <w:i/>
      <w:iCs/>
      <w:sz w:val="28"/>
      <w:szCs w:val="28"/>
    </w:rPr>
  </w:style>
  <w:style w:type="paragraph" w:styleId="Cmsor3">
    <w:name w:val="heading 3"/>
    <w:basedOn w:val="Standard"/>
    <w:next w:val="Standard"/>
    <w:uiPriority w:val="9"/>
    <w:semiHidden/>
    <w:unhideWhenUsed/>
    <w:qFormat/>
    <w:pPr>
      <w:keepNext/>
      <w:spacing w:before="240" w:after="60"/>
      <w:outlineLvl w:val="2"/>
    </w:pPr>
    <w:rPr>
      <w:rFonts w:ascii="Arial" w:eastAsia="Arial" w:hAnsi="Arial" w:cs="Arial"/>
      <w:b/>
      <w:bCs/>
      <w:sz w:val="26"/>
      <w:szCs w:val="26"/>
    </w:rPr>
  </w:style>
  <w:style w:type="paragraph" w:styleId="Cmsor4">
    <w:name w:val="heading 4"/>
    <w:basedOn w:val="Standard"/>
    <w:next w:val="Standard"/>
    <w:uiPriority w:val="9"/>
    <w:semiHidden/>
    <w:unhideWhenUsed/>
    <w:qFormat/>
    <w:pPr>
      <w:keepNext/>
      <w:jc w:val="center"/>
      <w:outlineLvl w:val="3"/>
    </w:pPr>
    <w:rPr>
      <w:b/>
      <w:spacing w:val="20"/>
      <w:szCs w:val="20"/>
    </w:rPr>
  </w:style>
  <w:style w:type="paragraph" w:styleId="Cmsor5">
    <w:name w:val="heading 5"/>
    <w:basedOn w:val="Standard"/>
    <w:next w:val="Standard"/>
    <w:uiPriority w:val="9"/>
    <w:semiHidden/>
    <w:unhideWhenUsed/>
    <w:qFormat/>
    <w:pPr>
      <w:spacing w:before="240" w:after="60"/>
      <w:outlineLvl w:val="4"/>
    </w:pPr>
    <w:rPr>
      <w:b/>
      <w:bCs/>
      <w:i/>
      <w:iCs/>
      <w:sz w:val="26"/>
      <w:szCs w:val="26"/>
    </w:rPr>
  </w:style>
  <w:style w:type="paragraph" w:styleId="Cmsor6">
    <w:name w:val="heading 6"/>
    <w:basedOn w:val="Standard"/>
    <w:next w:val="Standard"/>
    <w:uiPriority w:val="9"/>
    <w:semiHidden/>
    <w:unhideWhenUsed/>
    <w:qFormat/>
    <w:pPr>
      <w:spacing w:before="240" w:after="60"/>
      <w:outlineLvl w:val="5"/>
    </w:pPr>
    <w:rPr>
      <w:b/>
      <w:bCs/>
      <w:sz w:val="22"/>
      <w:szCs w:val="22"/>
    </w:rPr>
  </w:style>
  <w:style w:type="paragraph" w:styleId="Cmsor8">
    <w:name w:val="heading 8"/>
    <w:basedOn w:val="Standard"/>
    <w:next w:val="Standard"/>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pPr>
    <w:rPr>
      <w:szCs w:val="24"/>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Kpalrs">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Szvegtrzs2">
    <w:name w:val="Body Text 2"/>
    <w:basedOn w:val="Standard"/>
    <w:pPr>
      <w:jc w:val="both"/>
    </w:pPr>
    <w:rPr>
      <w:b/>
      <w:bCs/>
    </w:rPr>
  </w:style>
  <w:style w:type="paragraph" w:styleId="Buborkszveg">
    <w:name w:val="Balloon Text"/>
    <w:basedOn w:val="Standard"/>
    <w:rPr>
      <w:rFonts w:ascii="Tahoma" w:eastAsia="Tahoma" w:hAnsi="Tahoma" w:cs="Tahoma"/>
      <w:sz w:val="16"/>
      <w:szCs w:val="16"/>
    </w:rPr>
  </w:style>
  <w:style w:type="paragraph" w:customStyle="1" w:styleId="HeaderandFooter">
    <w:name w:val="Header and Footer"/>
    <w:basedOn w:val="Standard"/>
  </w:style>
  <w:style w:type="paragraph" w:styleId="lfej">
    <w:name w:val="header"/>
    <w:basedOn w:val="Standard"/>
    <w:uiPriority w:val="99"/>
    <w:pPr>
      <w:tabs>
        <w:tab w:val="center" w:pos="4536"/>
        <w:tab w:val="right" w:pos="9072"/>
      </w:tabs>
    </w:pPr>
  </w:style>
  <w:style w:type="paragraph" w:styleId="llb">
    <w:name w:val="footer"/>
    <w:basedOn w:val="Standard"/>
    <w:link w:val="llbChar"/>
    <w:uiPriority w:val="99"/>
    <w:pPr>
      <w:tabs>
        <w:tab w:val="center" w:pos="4536"/>
        <w:tab w:val="right" w:pos="9072"/>
      </w:tabs>
    </w:pPr>
  </w:style>
  <w:style w:type="paragraph" w:customStyle="1" w:styleId="Char1CharCharChar">
    <w:name w:val="Char1 Char Char Char"/>
    <w:basedOn w:val="Standard"/>
    <w:pPr>
      <w:spacing w:after="160" w:line="240" w:lineRule="exact"/>
    </w:pPr>
    <w:rPr>
      <w:rFonts w:ascii="Tahoma" w:eastAsia="Tahoma" w:hAnsi="Tahoma" w:cs="Tahoma"/>
      <w:sz w:val="20"/>
      <w:szCs w:val="20"/>
      <w:lang w:val="en-US" w:eastAsia="en-US"/>
    </w:rPr>
  </w:style>
  <w:style w:type="paragraph" w:customStyle="1" w:styleId="CharCharCharChar">
    <w:name w:val="Char Char Char Char"/>
    <w:basedOn w:val="Standard"/>
    <w:next w:val="Standard"/>
    <w:pPr>
      <w:jc w:val="both"/>
    </w:pPr>
    <w:rPr>
      <w:lang w:val="en-US" w:eastAsia="en-US"/>
    </w:rPr>
  </w:style>
  <w:style w:type="paragraph" w:customStyle="1" w:styleId="Textbodyindent">
    <w:name w:val="Text body indent"/>
    <w:basedOn w:val="Standard"/>
    <w:pPr>
      <w:spacing w:after="120"/>
      <w:ind w:left="283"/>
    </w:pPr>
  </w:style>
  <w:style w:type="paragraph" w:styleId="Cm">
    <w:name w:val="Title"/>
    <w:basedOn w:val="Standard"/>
    <w:uiPriority w:val="10"/>
    <w:qFormat/>
    <w:pPr>
      <w:jc w:val="center"/>
    </w:pPr>
    <w:rPr>
      <w:b/>
      <w:bCs/>
      <w:sz w:val="28"/>
      <w:szCs w:val="20"/>
    </w:rPr>
  </w:style>
  <w:style w:type="paragraph" w:customStyle="1" w:styleId="Szvegtrzs21">
    <w:name w:val="Szövegtörzs 21"/>
    <w:basedOn w:val="Standard"/>
    <w:rPr>
      <w:szCs w:val="20"/>
    </w:rPr>
  </w:style>
  <w:style w:type="paragraph" w:customStyle="1" w:styleId="Char">
    <w:name w:val="Char"/>
    <w:basedOn w:val="Standard"/>
    <w:pPr>
      <w:spacing w:after="160" w:line="240" w:lineRule="exact"/>
    </w:pPr>
    <w:rPr>
      <w:szCs w:val="20"/>
      <w:lang w:val="en-US" w:eastAsia="en-US"/>
    </w:rPr>
  </w:style>
  <w:style w:type="paragraph" w:customStyle="1" w:styleId="CharCharCharCharCharChar">
    <w:name w:val="Char Char Char Char Char Char"/>
    <w:basedOn w:val="Standard"/>
    <w:pPr>
      <w:spacing w:after="160" w:line="240" w:lineRule="exact"/>
    </w:pPr>
    <w:rPr>
      <w:szCs w:val="20"/>
      <w:lang w:val="en-US" w:eastAsia="en-US"/>
    </w:rPr>
  </w:style>
  <w:style w:type="paragraph" w:customStyle="1" w:styleId="CharCharCharCharCharCharCharChar">
    <w:name w:val="Char Char Char Char Char Char Char Char"/>
    <w:basedOn w:val="Standard"/>
    <w:pPr>
      <w:spacing w:after="160" w:line="240" w:lineRule="exact"/>
    </w:pPr>
    <w:rPr>
      <w:rFonts w:ascii="Verdana" w:eastAsia="Verdana" w:hAnsi="Verdana" w:cs="Verdana"/>
      <w:sz w:val="20"/>
      <w:szCs w:val="20"/>
      <w:lang w:val="en-US" w:eastAsia="en-US"/>
    </w:rPr>
  </w:style>
  <w:style w:type="paragraph" w:styleId="Szvegtrzsbehzssal2">
    <w:name w:val="Body Text Indent 2"/>
    <w:basedOn w:val="Standard"/>
    <w:pPr>
      <w:spacing w:after="120" w:line="480" w:lineRule="auto"/>
      <w:ind w:left="283"/>
    </w:pPr>
  </w:style>
  <w:style w:type="paragraph" w:styleId="Szvegtrzs3">
    <w:name w:val="Body Text 3"/>
    <w:basedOn w:val="Standard"/>
    <w:pPr>
      <w:spacing w:after="120"/>
    </w:pPr>
    <w:rPr>
      <w:sz w:val="16"/>
      <w:szCs w:val="16"/>
    </w:rPr>
  </w:style>
  <w:style w:type="paragraph" w:customStyle="1" w:styleId="Norml1">
    <w:name w:val="Normál1"/>
    <w:basedOn w:val="Standard"/>
    <w:rPr>
      <w:rFonts w:eastAsia="SimSun"/>
      <w:szCs w:val="20"/>
      <w:lang w:eastAsia="zh-CN"/>
    </w:rPr>
  </w:style>
  <w:style w:type="paragraph" w:customStyle="1" w:styleId="Footnote">
    <w:name w:val="Footnote"/>
    <w:basedOn w:val="Standard"/>
    <w:rPr>
      <w:sz w:val="20"/>
      <w:szCs w:val="20"/>
    </w:rPr>
  </w:style>
  <w:style w:type="paragraph" w:styleId="Szvegtrzsbehzssal3">
    <w:name w:val="Body Text Indent 3"/>
    <w:basedOn w:val="Standard"/>
    <w:pPr>
      <w:spacing w:after="120"/>
      <w:ind w:left="283"/>
    </w:pPr>
    <w:rPr>
      <w:sz w:val="16"/>
      <w:szCs w:val="16"/>
    </w:rPr>
  </w:style>
  <w:style w:type="paragraph" w:styleId="NormlWeb">
    <w:name w:val="Normal (Web)"/>
    <w:basedOn w:val="Standard"/>
    <w:pPr>
      <w:spacing w:before="280" w:after="280"/>
    </w:pPr>
  </w:style>
  <w:style w:type="paragraph" w:customStyle="1" w:styleId="NormlWeb28">
    <w:name w:val="Normál (Web)28"/>
    <w:basedOn w:val="Standard"/>
    <w:pPr>
      <w:spacing w:before="105" w:after="105"/>
      <w:ind w:left="105" w:right="105"/>
    </w:pPr>
  </w:style>
  <w:style w:type="paragraph" w:customStyle="1" w:styleId="NormlWeb29">
    <w:name w:val="Normál (Web)29"/>
    <w:basedOn w:val="Standard"/>
  </w:style>
  <w:style w:type="paragraph" w:customStyle="1" w:styleId="CharCharCharCharCharCharCharCharCharCharCharCharChar">
    <w:name w:val="Char Char Char Char Char Char Char Char Char Char Char Char Char"/>
    <w:basedOn w:val="Standard"/>
    <w:pPr>
      <w:spacing w:after="160" w:line="240" w:lineRule="exact"/>
    </w:pPr>
    <w:rPr>
      <w:rFonts w:ascii="Tahoma" w:eastAsia="Tahoma" w:hAnsi="Tahoma" w:cs="Tahoma"/>
      <w:sz w:val="20"/>
      <w:szCs w:val="20"/>
      <w:lang w:val="en-US" w:eastAsia="en-US"/>
    </w:rPr>
  </w:style>
  <w:style w:type="paragraph" w:styleId="Listaszerbekezds">
    <w:name w:val="List Paragraph"/>
    <w:aliases w:val="List Paragraph,Számozott lista 1,Eszeri felsorolás,List Paragraph à moi,lista_2,Welt L Char,Welt L,Bullet List,FooterText,numbered,Paragraphe de liste1,Bulletr List Paragraph,列出段落,列出段落1,Listeafsnit1,Parágrafo da Lista1,リスト段落1"/>
    <w:basedOn w:val="Standard"/>
    <w:link w:val="ListaszerbekezdsChar"/>
    <w:qFormat/>
    <w:pPr>
      <w:ind w:left="708"/>
    </w:pPr>
  </w:style>
  <w:style w:type="paragraph" w:styleId="Jegyzetszveg">
    <w:name w:val="annotation text"/>
    <w:basedOn w:val="Standard"/>
    <w:rPr>
      <w:sz w:val="20"/>
      <w:szCs w:val="20"/>
    </w:rPr>
  </w:style>
  <w:style w:type="paragraph" w:styleId="Megjegyzstrgya">
    <w:name w:val="annotation subject"/>
    <w:basedOn w:val="Jegyzetszveg"/>
    <w:next w:val="Jegyzetszveg"/>
    <w:rPr>
      <w:b/>
      <w:bCs/>
    </w:rPr>
  </w:style>
  <w:style w:type="paragraph" w:customStyle="1" w:styleId="Framecontents">
    <w:name w:val="Frame contents"/>
    <w:basedOn w:val="Standard"/>
  </w:style>
  <w:style w:type="character" w:styleId="Oldalszm">
    <w:name w:val="page number"/>
    <w:basedOn w:val="Bekezdsalapbettpusa"/>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styleId="Kiemels2">
    <w:name w:val="Strong"/>
    <w:rPr>
      <w:b/>
      <w:bCs/>
    </w:rPr>
  </w:style>
  <w:style w:type="character" w:customStyle="1" w:styleId="googqs-tidbit-01">
    <w:name w:val="goog_qs-tidbit-01"/>
    <w:rPr>
      <w:rFonts w:ascii="Verdana" w:eastAsia="Verdana" w:hAnsi="Verdana" w:cs="Verdana"/>
      <w:vanish w:val="0"/>
      <w:color w:val="333333"/>
      <w:sz w:val="17"/>
      <w:szCs w:val="17"/>
      <w:shd w:val="clear" w:color="auto" w:fill="EEEFF1"/>
    </w:rPr>
  </w:style>
  <w:style w:type="character" w:customStyle="1" w:styleId="lfejChar">
    <w:name w:val="Élőfej Char"/>
    <w:uiPriority w:val="99"/>
    <w:rPr>
      <w:sz w:val="24"/>
      <w:szCs w:val="24"/>
    </w:rPr>
  </w:style>
  <w:style w:type="character" w:customStyle="1" w:styleId="para">
    <w:name w:val="para"/>
  </w:style>
  <w:style w:type="character" w:customStyle="1" w:styleId="section">
    <w:name w:val="section"/>
  </w:style>
  <w:style w:type="character" w:styleId="Jegyzethivatkozs">
    <w:name w:val="annotation reference"/>
    <w:basedOn w:val="Bekezdsalapbettpusa"/>
    <w:rPr>
      <w:sz w:val="16"/>
      <w:szCs w:val="16"/>
    </w:rPr>
  </w:style>
  <w:style w:type="character" w:customStyle="1" w:styleId="JegyzetszvegChar">
    <w:name w:val="Jegyzetszöveg Char"/>
    <w:basedOn w:val="Bekezdsalapbettpusa"/>
  </w:style>
  <w:style w:type="character" w:customStyle="1" w:styleId="MegjegyzstrgyaChar">
    <w:name w:val="Megjegyzés tárgya Char"/>
    <w:basedOn w:val="JegyzetszvegChar"/>
    <w:rPr>
      <w:b/>
      <w:bCs/>
    </w:rPr>
  </w:style>
  <w:style w:type="character" w:customStyle="1" w:styleId="ListLabel1">
    <w:name w:val="ListLabel 1"/>
    <w:rPr>
      <w:b w:val="0"/>
      <w:i w:val="0"/>
    </w:rPr>
  </w:style>
  <w:style w:type="character" w:customStyle="1" w:styleId="ListLabel2">
    <w:name w:val="ListLabel 2"/>
    <w:rPr>
      <w:b w:val="0"/>
      <w:i w:val="0"/>
    </w:rPr>
  </w:style>
  <w:style w:type="character" w:customStyle="1" w:styleId="ListLabel3">
    <w:name w:val="ListLabel 3"/>
    <w:rPr>
      <w:rFonts w:eastAsia="Times New Roman" w:cs="Times New Roman"/>
      <w:color w:val="auto"/>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b w:val="0"/>
      <w:i w:val="0"/>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color w:val="auto"/>
    </w:rPr>
  </w:style>
  <w:style w:type="character" w:customStyle="1" w:styleId="ListLabel13">
    <w:name w:val="ListLabel 13"/>
    <w:rPr>
      <w:b w:val="0"/>
      <w:i w:val="0"/>
      <w:strike w:val="0"/>
      <w:dstrike w:val="0"/>
    </w:rPr>
  </w:style>
  <w:style w:type="character" w:customStyle="1" w:styleId="ListLabel14">
    <w:name w:val="ListLabel 14"/>
    <w:rPr>
      <w:b w:val="0"/>
      <w:i w:val="0"/>
    </w:rPr>
  </w:style>
  <w:style w:type="character" w:customStyle="1" w:styleId="ListLabel15">
    <w:name w:val="ListLabel 15"/>
    <w:rPr>
      <w:b w:val="0"/>
      <w:i w:val="0"/>
    </w:rPr>
  </w:style>
  <w:style w:type="character" w:customStyle="1" w:styleId="ListLabel16">
    <w:name w:val="ListLabel 16"/>
    <w:rPr>
      <w:b w:val="0"/>
      <w:i w:val="0"/>
    </w:rPr>
  </w:style>
  <w:style w:type="character" w:customStyle="1" w:styleId="ListLabel17">
    <w:name w:val="ListLabel 17"/>
    <w:rPr>
      <w:b w:val="0"/>
      <w:i w:val="0"/>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Times New Roman" w:cs="Times New Roman"/>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eastAsia="Times New Roman" w:cs="Times New Roman"/>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color w:val="000000"/>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eastAsia="Times New Roman" w:cs="Times New Roman"/>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eastAsia="Times New Roman" w:cs="Times New Roman"/>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eastAsia="Times New Roman" w:cs="Times New Roman"/>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numbering" w:customStyle="1" w:styleId="Nemlista1">
    <w:name w:val="Nem lista1"/>
    <w:basedOn w:val="Nemlista"/>
    <w:pPr>
      <w:numPr>
        <w:numId w:val="1"/>
      </w:numPr>
    </w:pPr>
  </w:style>
  <w:style w:type="numbering" w:customStyle="1" w:styleId="WWNum1">
    <w:name w:val="WWNum1"/>
    <w:basedOn w:val="Nemlista"/>
    <w:pPr>
      <w:numPr>
        <w:numId w:val="2"/>
      </w:numPr>
    </w:pPr>
  </w:style>
  <w:style w:type="numbering" w:customStyle="1" w:styleId="WWNum2">
    <w:name w:val="WWNum2"/>
    <w:basedOn w:val="Nemlista"/>
    <w:pPr>
      <w:numPr>
        <w:numId w:val="3"/>
      </w:numPr>
    </w:pPr>
  </w:style>
  <w:style w:type="numbering" w:customStyle="1" w:styleId="WWNum3">
    <w:name w:val="WWNum3"/>
    <w:basedOn w:val="Nemlista"/>
    <w:pPr>
      <w:numPr>
        <w:numId w:val="4"/>
      </w:numPr>
    </w:pPr>
  </w:style>
  <w:style w:type="numbering" w:customStyle="1" w:styleId="WWNum4">
    <w:name w:val="WWNum4"/>
    <w:basedOn w:val="Nemlista"/>
    <w:pPr>
      <w:numPr>
        <w:numId w:val="5"/>
      </w:numPr>
    </w:pPr>
  </w:style>
  <w:style w:type="numbering" w:customStyle="1" w:styleId="WWNum5">
    <w:name w:val="WWNum5"/>
    <w:basedOn w:val="Nemlista"/>
    <w:pPr>
      <w:numPr>
        <w:numId w:val="6"/>
      </w:numPr>
    </w:pPr>
  </w:style>
  <w:style w:type="numbering" w:customStyle="1" w:styleId="WWNum6">
    <w:name w:val="WWNum6"/>
    <w:basedOn w:val="Nemlista"/>
    <w:pPr>
      <w:numPr>
        <w:numId w:val="7"/>
      </w:numPr>
    </w:pPr>
  </w:style>
  <w:style w:type="numbering" w:customStyle="1" w:styleId="WWNum7">
    <w:name w:val="WWNum7"/>
    <w:basedOn w:val="Nemlista"/>
    <w:pPr>
      <w:numPr>
        <w:numId w:val="8"/>
      </w:numPr>
    </w:pPr>
  </w:style>
  <w:style w:type="numbering" w:customStyle="1" w:styleId="WWNum8">
    <w:name w:val="WWNum8"/>
    <w:basedOn w:val="Nemlista"/>
    <w:pPr>
      <w:numPr>
        <w:numId w:val="9"/>
      </w:numPr>
    </w:pPr>
  </w:style>
  <w:style w:type="numbering" w:customStyle="1" w:styleId="WWNum9">
    <w:name w:val="WWNum9"/>
    <w:basedOn w:val="Nemlista"/>
    <w:pPr>
      <w:numPr>
        <w:numId w:val="10"/>
      </w:numPr>
    </w:pPr>
  </w:style>
  <w:style w:type="numbering" w:customStyle="1" w:styleId="WWNum10">
    <w:name w:val="WWNum10"/>
    <w:basedOn w:val="Nemlista"/>
    <w:pPr>
      <w:numPr>
        <w:numId w:val="11"/>
      </w:numPr>
    </w:pPr>
  </w:style>
  <w:style w:type="numbering" w:customStyle="1" w:styleId="WWNum11">
    <w:name w:val="WWNum11"/>
    <w:basedOn w:val="Nemlista"/>
    <w:pPr>
      <w:numPr>
        <w:numId w:val="12"/>
      </w:numPr>
    </w:pPr>
  </w:style>
  <w:style w:type="numbering" w:customStyle="1" w:styleId="WWNum12">
    <w:name w:val="WWNum12"/>
    <w:basedOn w:val="Nemlista"/>
    <w:pPr>
      <w:numPr>
        <w:numId w:val="13"/>
      </w:numPr>
    </w:pPr>
  </w:style>
  <w:style w:type="numbering" w:customStyle="1" w:styleId="WWNum13">
    <w:name w:val="WWNum13"/>
    <w:basedOn w:val="Nemlista"/>
    <w:pPr>
      <w:numPr>
        <w:numId w:val="14"/>
      </w:numPr>
    </w:pPr>
  </w:style>
  <w:style w:type="numbering" w:customStyle="1" w:styleId="WWNum14">
    <w:name w:val="WWNum14"/>
    <w:basedOn w:val="Nemlista"/>
    <w:pPr>
      <w:numPr>
        <w:numId w:val="15"/>
      </w:numPr>
    </w:pPr>
  </w:style>
  <w:style w:type="numbering" w:customStyle="1" w:styleId="WWNum15">
    <w:name w:val="WWNum15"/>
    <w:basedOn w:val="Nemlista"/>
    <w:pPr>
      <w:numPr>
        <w:numId w:val="16"/>
      </w:numPr>
    </w:pPr>
  </w:style>
  <w:style w:type="numbering" w:customStyle="1" w:styleId="WWNum16">
    <w:name w:val="WWNum16"/>
    <w:basedOn w:val="Nemlista"/>
    <w:pPr>
      <w:numPr>
        <w:numId w:val="17"/>
      </w:numPr>
    </w:pPr>
  </w:style>
  <w:style w:type="numbering" w:customStyle="1" w:styleId="WWNum17">
    <w:name w:val="WWNum17"/>
    <w:basedOn w:val="Nemlista"/>
    <w:pPr>
      <w:numPr>
        <w:numId w:val="18"/>
      </w:numPr>
    </w:pPr>
  </w:style>
  <w:style w:type="numbering" w:customStyle="1" w:styleId="WWNum18">
    <w:name w:val="WWNum18"/>
    <w:basedOn w:val="Nemlista"/>
    <w:pPr>
      <w:numPr>
        <w:numId w:val="19"/>
      </w:numPr>
    </w:pPr>
  </w:style>
  <w:style w:type="numbering" w:customStyle="1" w:styleId="WWNum19">
    <w:name w:val="WWNum19"/>
    <w:basedOn w:val="Nemlista"/>
    <w:pPr>
      <w:numPr>
        <w:numId w:val="20"/>
      </w:numPr>
    </w:pPr>
  </w:style>
  <w:style w:type="numbering" w:customStyle="1" w:styleId="WWNum20">
    <w:name w:val="WWNum20"/>
    <w:basedOn w:val="Nemlista"/>
    <w:pPr>
      <w:numPr>
        <w:numId w:val="21"/>
      </w:numPr>
    </w:pPr>
  </w:style>
  <w:style w:type="numbering" w:customStyle="1" w:styleId="WWNum21">
    <w:name w:val="WWNum21"/>
    <w:basedOn w:val="Nemlista"/>
    <w:pPr>
      <w:numPr>
        <w:numId w:val="22"/>
      </w:numPr>
    </w:pPr>
  </w:style>
  <w:style w:type="numbering" w:customStyle="1" w:styleId="WWNum22">
    <w:name w:val="WWNum22"/>
    <w:basedOn w:val="Nemlista"/>
    <w:pPr>
      <w:numPr>
        <w:numId w:val="23"/>
      </w:numPr>
    </w:pPr>
  </w:style>
  <w:style w:type="numbering" w:customStyle="1" w:styleId="WWNum23">
    <w:name w:val="WWNum23"/>
    <w:basedOn w:val="Nemlista"/>
    <w:pPr>
      <w:numPr>
        <w:numId w:val="24"/>
      </w:numPr>
    </w:pPr>
  </w:style>
  <w:style w:type="numbering" w:customStyle="1" w:styleId="WWNum24">
    <w:name w:val="WWNum24"/>
    <w:basedOn w:val="Nemlista"/>
    <w:pPr>
      <w:numPr>
        <w:numId w:val="25"/>
      </w:numPr>
    </w:pPr>
  </w:style>
  <w:style w:type="numbering" w:customStyle="1" w:styleId="WWNum25">
    <w:name w:val="WWNum25"/>
    <w:basedOn w:val="Nemlista"/>
    <w:pPr>
      <w:numPr>
        <w:numId w:val="26"/>
      </w:numPr>
    </w:pPr>
  </w:style>
  <w:style w:type="numbering" w:customStyle="1" w:styleId="WWNum26">
    <w:name w:val="WWNum26"/>
    <w:basedOn w:val="Nemlista"/>
    <w:pPr>
      <w:numPr>
        <w:numId w:val="27"/>
      </w:numPr>
    </w:pPr>
  </w:style>
  <w:style w:type="numbering" w:customStyle="1" w:styleId="WWNum27">
    <w:name w:val="WWNum27"/>
    <w:basedOn w:val="Nemlista"/>
    <w:pPr>
      <w:numPr>
        <w:numId w:val="28"/>
      </w:numPr>
    </w:pPr>
  </w:style>
  <w:style w:type="numbering" w:customStyle="1" w:styleId="WWNum28">
    <w:name w:val="WWNum28"/>
    <w:basedOn w:val="Nemlista"/>
    <w:pPr>
      <w:numPr>
        <w:numId w:val="29"/>
      </w:numPr>
    </w:pPr>
  </w:style>
  <w:style w:type="numbering" w:customStyle="1" w:styleId="WWNum29">
    <w:name w:val="WWNum29"/>
    <w:basedOn w:val="Nemlista"/>
    <w:pPr>
      <w:numPr>
        <w:numId w:val="30"/>
      </w:numPr>
    </w:pPr>
  </w:style>
  <w:style w:type="numbering" w:customStyle="1" w:styleId="WWNum30">
    <w:name w:val="WWNum30"/>
    <w:basedOn w:val="Nemlista"/>
    <w:pPr>
      <w:numPr>
        <w:numId w:val="31"/>
      </w:numPr>
    </w:pPr>
  </w:style>
  <w:style w:type="numbering" w:customStyle="1" w:styleId="WWNum31">
    <w:name w:val="WWNum31"/>
    <w:basedOn w:val="Nemlista"/>
    <w:pPr>
      <w:numPr>
        <w:numId w:val="32"/>
      </w:numPr>
    </w:pPr>
  </w:style>
  <w:style w:type="character" w:customStyle="1" w:styleId="llbChar">
    <w:name w:val="Élőláb Char"/>
    <w:basedOn w:val="Bekezdsalapbettpusa"/>
    <w:link w:val="llb"/>
    <w:uiPriority w:val="99"/>
    <w:rsid w:val="0077251A"/>
    <w:rPr>
      <w:szCs w:val="24"/>
    </w:rPr>
  </w:style>
  <w:style w:type="paragraph" w:styleId="Vltozat">
    <w:name w:val="Revision"/>
    <w:hidden/>
    <w:uiPriority w:val="99"/>
    <w:semiHidden/>
    <w:rsid w:val="006E0849"/>
    <w:pPr>
      <w:widowControl/>
      <w:suppressAutoHyphens w:val="0"/>
      <w:autoSpaceDN/>
      <w:textAlignment w:val="auto"/>
    </w:pPr>
  </w:style>
  <w:style w:type="character" w:customStyle="1" w:styleId="ListaszerbekezdsChar">
    <w:name w:val="Listaszerű bekezdés Char"/>
    <w:aliases w:val="List Paragraph Char,Számozott lista 1 Char,Eszeri felsorolás Char,List Paragraph à moi Char,lista_2 Char,Welt L Char Char,Welt L Char1,Bullet List Char,FooterText Char,numbered Char,Paragraphe de liste1 Char,列出段落 Char,列出段落1 Char"/>
    <w:link w:val="Listaszerbekezds"/>
    <w:qFormat/>
    <w:locked/>
    <w:rsid w:val="0003647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03526-C272-4C81-8A53-F135ED68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4728</Words>
  <Characters>32625</Characters>
  <Application>Microsoft Office Word</Application>
  <DocSecurity>0</DocSecurity>
  <Lines>271</Lines>
  <Paragraphs>74</Paragraphs>
  <ScaleCrop>false</ScaleCrop>
  <HeadingPairs>
    <vt:vector size="2" baseType="variant">
      <vt:variant>
        <vt:lpstr>Cím</vt:lpstr>
      </vt:variant>
      <vt:variant>
        <vt:i4>1</vt:i4>
      </vt:variant>
    </vt:vector>
  </HeadingPairs>
  <TitlesOfParts>
    <vt:vector size="1" baseType="lpstr">
      <vt:lpstr>HAJDÚ-BIHAR MEGYEI KÖZGYŰLÉS</vt:lpstr>
    </vt:vector>
  </TitlesOfParts>
  <Company/>
  <LinksUpToDate>false</LinksUpToDate>
  <CharactersWithSpaces>37279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HAJDÚ-BIHAR MEGYEI KÖZGYŰLÉS</dc:title>
  <dc:creator>HBMO</dc:creator>
  <cp:lastModifiedBy>HBM-i Önkormányzat</cp:lastModifiedBy>
  <cp:revision>8</cp:revision>
  <cp:lastPrinted>2021-02-12T08:12:00Z</cp:lastPrinted>
  <dcterms:created xsi:type="dcterms:W3CDTF">2025-02-12T17:27:00Z</dcterms:created>
  <dcterms:modified xsi:type="dcterms:W3CDTF">2025-02-14T14:10:00Z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