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06" w:type="dxa"/>
        <w:jc w:val="center"/>
        <w:tblLook w:val="01E0" w:firstRow="1" w:lastRow="1" w:firstColumn="1" w:lastColumn="1" w:noHBand="0" w:noVBand="0"/>
      </w:tblPr>
      <w:tblGrid>
        <w:gridCol w:w="2026"/>
        <w:gridCol w:w="6859"/>
        <w:gridCol w:w="616"/>
        <w:gridCol w:w="105"/>
      </w:tblGrid>
      <w:tr w:rsidR="00093406" w:rsidRPr="0024198F" w14:paraId="5738F1BD" w14:textId="77777777" w:rsidTr="001E4167">
        <w:trPr>
          <w:trHeight w:val="1267"/>
          <w:jc w:val="center"/>
        </w:trPr>
        <w:tc>
          <w:tcPr>
            <w:tcW w:w="2026" w:type="dxa"/>
            <w:hideMark/>
          </w:tcPr>
          <w:p w14:paraId="56D22CDD" w14:textId="77777777" w:rsidR="00093406" w:rsidRPr="0024198F" w:rsidRDefault="00093406" w:rsidP="001E4167">
            <w:pPr>
              <w:tabs>
                <w:tab w:val="left" w:pos="0"/>
                <w:tab w:val="right" w:pos="9072"/>
              </w:tabs>
              <w:rPr>
                <w:rFonts w:eastAsia="Calibri" w:cs="Calibri"/>
                <w:smallCaps/>
                <w:spacing w:val="20"/>
                <w:sz w:val="32"/>
                <w:szCs w:val="32"/>
              </w:rPr>
            </w:pPr>
            <w:r w:rsidRPr="0024198F">
              <w:rPr>
                <w:rFonts w:ascii="Calibri" w:eastAsia="Calibri" w:hAnsi="Calibri"/>
                <w:noProof/>
              </w:rPr>
              <w:drawing>
                <wp:anchor distT="0" distB="0" distL="114300" distR="114300" simplePos="0" relativeHeight="251659264" behindDoc="1" locked="0" layoutInCell="1" allowOverlap="0" wp14:anchorId="6A9C3219" wp14:editId="053ADD99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-706120</wp:posOffset>
                  </wp:positionV>
                  <wp:extent cx="1149350" cy="812800"/>
                  <wp:effectExtent l="0" t="0" r="0" b="6350"/>
                  <wp:wrapSquare wrapText="bothSides"/>
                  <wp:docPr id="3" name="Kép 1" descr="ujmegy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 descr="ujmegy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350" cy="812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580" w:type="dxa"/>
            <w:gridSpan w:val="3"/>
            <w:vAlign w:val="center"/>
          </w:tcPr>
          <w:p w14:paraId="36C8CAFB" w14:textId="77777777" w:rsidR="00383606" w:rsidRDefault="00383606" w:rsidP="00383606">
            <w:pPr>
              <w:tabs>
                <w:tab w:val="left" w:pos="0"/>
                <w:tab w:val="center" w:pos="5220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pacing w:val="20"/>
                <w:sz w:val="32"/>
                <w:szCs w:val="32"/>
              </w:rPr>
            </w:pPr>
          </w:p>
          <w:p w14:paraId="580FFA91" w14:textId="6C774617" w:rsidR="00093406" w:rsidRPr="0024198F" w:rsidRDefault="00093406" w:rsidP="00383606">
            <w:pPr>
              <w:tabs>
                <w:tab w:val="left" w:pos="0"/>
                <w:tab w:val="center" w:pos="5220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pacing w:val="20"/>
                <w:sz w:val="32"/>
                <w:szCs w:val="32"/>
              </w:rPr>
            </w:pPr>
            <w:r w:rsidRPr="0024198F">
              <w:rPr>
                <w:rFonts w:ascii="Times New Roman" w:eastAsia="Calibri" w:hAnsi="Times New Roman" w:cs="Times New Roman"/>
                <w:smallCaps/>
                <w:spacing w:val="20"/>
                <w:sz w:val="32"/>
                <w:szCs w:val="32"/>
              </w:rPr>
              <w:t>Hajdú-Bihar Vármegye Önkormányzata</w:t>
            </w:r>
          </w:p>
          <w:p w14:paraId="780C762C" w14:textId="77777777" w:rsidR="00093406" w:rsidRPr="0024198F" w:rsidRDefault="00093406" w:rsidP="00383606">
            <w:pPr>
              <w:tabs>
                <w:tab w:val="left" w:pos="0"/>
                <w:tab w:val="center" w:pos="5220"/>
                <w:tab w:val="right" w:pos="9072"/>
              </w:tabs>
              <w:spacing w:after="0" w:line="240" w:lineRule="auto"/>
              <w:jc w:val="center"/>
              <w:rPr>
                <w:rFonts w:eastAsia="Calibri" w:cs="Calibri"/>
                <w:smallCaps/>
                <w:spacing w:val="20"/>
                <w:sz w:val="32"/>
                <w:szCs w:val="32"/>
              </w:rPr>
            </w:pPr>
            <w:r w:rsidRPr="0024198F">
              <w:rPr>
                <w:rFonts w:ascii="Times New Roman" w:eastAsia="Calibri" w:hAnsi="Times New Roman" w:cs="Times New Roman"/>
                <w:smallCaps/>
                <w:spacing w:val="20"/>
                <w:sz w:val="32"/>
                <w:szCs w:val="32"/>
              </w:rPr>
              <w:t>Közgyűlése</w:t>
            </w:r>
          </w:p>
          <w:p w14:paraId="111E6C99" w14:textId="77777777" w:rsidR="00093406" w:rsidRPr="0024198F" w:rsidRDefault="00093406" w:rsidP="001E4167">
            <w:pPr>
              <w:tabs>
                <w:tab w:val="left" w:pos="0"/>
                <w:tab w:val="center" w:pos="5220"/>
                <w:tab w:val="right" w:pos="9072"/>
              </w:tabs>
              <w:jc w:val="center"/>
              <w:rPr>
                <w:rFonts w:eastAsia="Calibri" w:cs="Calibri"/>
                <w:sz w:val="32"/>
                <w:szCs w:val="32"/>
              </w:rPr>
            </w:pPr>
          </w:p>
        </w:tc>
      </w:tr>
      <w:tr w:rsidR="00093406" w:rsidRPr="00B241F5" w14:paraId="6D7A02C9" w14:textId="77777777" w:rsidTr="001E4167">
        <w:tblPrEx>
          <w:jc w:val="left"/>
          <w:tblLook w:val="00A0" w:firstRow="1" w:lastRow="0" w:firstColumn="1" w:lastColumn="0" w:noHBand="0" w:noVBand="0"/>
        </w:tblPrEx>
        <w:trPr>
          <w:gridAfter w:val="1"/>
          <w:wAfter w:w="108" w:type="dxa"/>
        </w:trPr>
        <w:tc>
          <w:tcPr>
            <w:tcW w:w="9042" w:type="dxa"/>
            <w:gridSpan w:val="2"/>
            <w:hideMark/>
          </w:tcPr>
          <w:p w14:paraId="3E9EB66D" w14:textId="77777777" w:rsidR="00093406" w:rsidRPr="00064832" w:rsidRDefault="00093406" w:rsidP="001E4167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</w:rPr>
            </w:pPr>
          </w:p>
          <w:p w14:paraId="69C95A79" w14:textId="77777777" w:rsidR="00093406" w:rsidRPr="00064832" w:rsidRDefault="00093406" w:rsidP="001E4167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064832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KÖZGYŰLÉSI ELŐTERJESZTÉS</w:t>
            </w:r>
          </w:p>
        </w:tc>
        <w:tc>
          <w:tcPr>
            <w:tcW w:w="456" w:type="dxa"/>
            <w:vAlign w:val="bottom"/>
            <w:hideMark/>
          </w:tcPr>
          <w:p w14:paraId="6CA0BCDB" w14:textId="5E0ACD2A" w:rsidR="00093406" w:rsidRPr="00B241F5" w:rsidRDefault="00D211A8" w:rsidP="001E4167">
            <w:pPr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10</w:t>
            </w:r>
            <w:r w:rsidR="00093406" w:rsidRPr="00D211A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.</w:t>
            </w:r>
          </w:p>
        </w:tc>
      </w:tr>
    </w:tbl>
    <w:p w14:paraId="7CC9C224" w14:textId="77777777" w:rsidR="00093406" w:rsidRPr="0024198F" w:rsidRDefault="00093406" w:rsidP="00093406">
      <w:pPr>
        <w:jc w:val="center"/>
        <w:rPr>
          <w:rFonts w:ascii="Times New Roman" w:hAnsi="Times New Roman" w:cs="Times New Roman"/>
          <w:b/>
          <w:bCs/>
          <w:spacing w:val="50"/>
          <w:sz w:val="32"/>
          <w:szCs w:val="3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002"/>
        <w:gridCol w:w="6637"/>
      </w:tblGrid>
      <w:tr w:rsidR="00093406" w:rsidRPr="0024198F" w14:paraId="2446CD06" w14:textId="77777777" w:rsidTr="001E4167">
        <w:trPr>
          <w:trHeight w:val="851"/>
        </w:trPr>
        <w:tc>
          <w:tcPr>
            <w:tcW w:w="3002" w:type="dxa"/>
            <w:vAlign w:val="center"/>
            <w:hideMark/>
          </w:tcPr>
          <w:p w14:paraId="6329D949" w14:textId="77777777" w:rsidR="00093406" w:rsidRPr="0024198F" w:rsidRDefault="00093406" w:rsidP="001E4167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4198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Előterjesztő:</w:t>
            </w:r>
          </w:p>
        </w:tc>
        <w:tc>
          <w:tcPr>
            <w:tcW w:w="6637" w:type="dxa"/>
            <w:vAlign w:val="center"/>
            <w:hideMark/>
          </w:tcPr>
          <w:p w14:paraId="5781A93F" w14:textId="77777777" w:rsidR="00093406" w:rsidRPr="0024198F" w:rsidRDefault="00093406" w:rsidP="001E4167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4198F">
              <w:rPr>
                <w:rFonts w:ascii="Times New Roman" w:hAnsi="Times New Roman" w:cs="Times New Roman"/>
                <w:bCs/>
                <w:sz w:val="26"/>
                <w:szCs w:val="26"/>
              </w:rPr>
              <w:t>Pajna Zoltán, a Közgyűlés elnöke</w:t>
            </w:r>
          </w:p>
        </w:tc>
      </w:tr>
      <w:tr w:rsidR="00093406" w:rsidRPr="0024198F" w14:paraId="5CB47983" w14:textId="77777777" w:rsidTr="001E4167">
        <w:trPr>
          <w:trHeight w:val="851"/>
        </w:trPr>
        <w:tc>
          <w:tcPr>
            <w:tcW w:w="3002" w:type="dxa"/>
            <w:vAlign w:val="center"/>
            <w:hideMark/>
          </w:tcPr>
          <w:p w14:paraId="4B3431AD" w14:textId="77777777" w:rsidR="00093406" w:rsidRPr="0024198F" w:rsidRDefault="00093406" w:rsidP="001E4167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4198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Tárgy:</w:t>
            </w:r>
          </w:p>
        </w:tc>
        <w:tc>
          <w:tcPr>
            <w:tcW w:w="6637" w:type="dxa"/>
            <w:vAlign w:val="center"/>
            <w:hideMark/>
          </w:tcPr>
          <w:p w14:paraId="2C62932A" w14:textId="77777777" w:rsidR="00093406" w:rsidRPr="0024198F" w:rsidRDefault="00093406" w:rsidP="001E41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198F">
              <w:rPr>
                <w:rFonts w:ascii="Times New Roman" w:hAnsi="Times New Roman" w:cs="Times New Roman"/>
                <w:sz w:val="26"/>
                <w:szCs w:val="26"/>
              </w:rPr>
              <w:t xml:space="preserve">Tájékoztató Hajdú-Bihar Vármegye Önkormányzatának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a </w:t>
            </w:r>
            <w:r w:rsidRPr="0024198F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24198F">
              <w:rPr>
                <w:rFonts w:ascii="Times New Roman" w:hAnsi="Times New Roman" w:cs="Times New Roman"/>
                <w:sz w:val="26"/>
                <w:szCs w:val="26"/>
              </w:rPr>
              <w:t>-202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 </w:t>
            </w:r>
            <w:r w:rsidRPr="0024198F">
              <w:rPr>
                <w:rFonts w:ascii="Times New Roman" w:hAnsi="Times New Roman" w:cs="Times New Roman"/>
                <w:sz w:val="26"/>
                <w:szCs w:val="26"/>
              </w:rPr>
              <w:t>közötti időszakra vonatkozó Integrált Terület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 w:rsidRPr="0024198F">
              <w:rPr>
                <w:rFonts w:ascii="Times New Roman" w:hAnsi="Times New Roman" w:cs="Times New Roman"/>
                <w:sz w:val="26"/>
                <w:szCs w:val="26"/>
              </w:rPr>
              <w:t xml:space="preserve"> Programjának végrehajtásáról, a TOP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Plusz</w:t>
            </w:r>
            <w:r w:rsidRPr="0024198F">
              <w:rPr>
                <w:rFonts w:ascii="Times New Roman" w:hAnsi="Times New Roman" w:cs="Times New Roman"/>
                <w:sz w:val="26"/>
                <w:szCs w:val="26"/>
              </w:rPr>
              <w:t xml:space="preserve"> vármegyei végrehajtását érintő esetleges problémákról</w:t>
            </w:r>
          </w:p>
        </w:tc>
      </w:tr>
      <w:tr w:rsidR="00093406" w:rsidRPr="0024198F" w14:paraId="25D4CDCE" w14:textId="77777777" w:rsidTr="001E4167">
        <w:trPr>
          <w:trHeight w:val="851"/>
        </w:trPr>
        <w:tc>
          <w:tcPr>
            <w:tcW w:w="3002" w:type="dxa"/>
            <w:vAlign w:val="center"/>
            <w:hideMark/>
          </w:tcPr>
          <w:p w14:paraId="12A68CD4" w14:textId="77777777" w:rsidR="00093406" w:rsidRPr="0024198F" w:rsidRDefault="00093406" w:rsidP="001E4167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4198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Készítette: </w:t>
            </w:r>
          </w:p>
        </w:tc>
        <w:tc>
          <w:tcPr>
            <w:tcW w:w="6637" w:type="dxa"/>
            <w:vAlign w:val="center"/>
            <w:hideMark/>
          </w:tcPr>
          <w:p w14:paraId="1A756C9F" w14:textId="77777777" w:rsidR="00093406" w:rsidRPr="0024198F" w:rsidRDefault="00093406" w:rsidP="001E4167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4198F">
              <w:rPr>
                <w:rFonts w:ascii="Times New Roman" w:hAnsi="Times New Roman" w:cs="Times New Roman"/>
                <w:bCs/>
                <w:sz w:val="26"/>
                <w:szCs w:val="26"/>
              </w:rPr>
              <w:t>Czapp Zsuzsa</w:t>
            </w:r>
          </w:p>
        </w:tc>
      </w:tr>
      <w:tr w:rsidR="00093406" w:rsidRPr="0024198F" w14:paraId="642BE088" w14:textId="77777777" w:rsidTr="001E4167">
        <w:trPr>
          <w:trHeight w:val="851"/>
        </w:trPr>
        <w:tc>
          <w:tcPr>
            <w:tcW w:w="3002" w:type="dxa"/>
            <w:vAlign w:val="center"/>
            <w:hideMark/>
          </w:tcPr>
          <w:p w14:paraId="6FE81A98" w14:textId="77777777" w:rsidR="00093406" w:rsidRPr="0024198F" w:rsidRDefault="00093406" w:rsidP="001E4167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4198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Véleményező bizottság:</w:t>
            </w:r>
          </w:p>
        </w:tc>
        <w:tc>
          <w:tcPr>
            <w:tcW w:w="6637" w:type="dxa"/>
            <w:vAlign w:val="center"/>
            <w:hideMark/>
          </w:tcPr>
          <w:p w14:paraId="3651335A" w14:textId="77777777" w:rsidR="00093406" w:rsidRPr="0024198F" w:rsidRDefault="00093406" w:rsidP="001E4167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4198F">
              <w:rPr>
                <w:rFonts w:ascii="Times New Roman" w:hAnsi="Times New Roman" w:cs="Times New Roman"/>
                <w:bCs/>
                <w:sz w:val="26"/>
                <w:szCs w:val="26"/>
              </w:rPr>
              <w:t>Fejlesztési, Tervezési és Stratégiai Bizottság</w:t>
            </w:r>
          </w:p>
        </w:tc>
      </w:tr>
    </w:tbl>
    <w:p w14:paraId="02519D46" w14:textId="77777777" w:rsidR="00093406" w:rsidRPr="0024198F" w:rsidRDefault="00093406" w:rsidP="0009340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00B2E12" w14:textId="77777777" w:rsidR="00093406" w:rsidRPr="0024198F" w:rsidRDefault="00093406" w:rsidP="0009340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4198F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7F31F64" w14:textId="77777777" w:rsidR="00093406" w:rsidRPr="0024198F" w:rsidRDefault="00093406" w:rsidP="00093406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508084E" w14:textId="77777777" w:rsidR="00093406" w:rsidRPr="00BE466D" w:rsidRDefault="00093406" w:rsidP="00093406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E466D">
        <w:rPr>
          <w:rFonts w:ascii="Times New Roman" w:hAnsi="Times New Roman" w:cs="Times New Roman"/>
          <w:b/>
          <w:bCs/>
          <w:sz w:val="24"/>
          <w:szCs w:val="24"/>
        </w:rPr>
        <w:t>Tisztelt Közgyűlés!</w:t>
      </w:r>
    </w:p>
    <w:p w14:paraId="00339565" w14:textId="77777777" w:rsidR="00093406" w:rsidRPr="00BE466D" w:rsidRDefault="00093406" w:rsidP="00093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F6FD3C" w14:textId="77777777" w:rsidR="00093406" w:rsidRPr="0041760B" w:rsidRDefault="00093406" w:rsidP="00093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60B">
        <w:rPr>
          <w:rFonts w:ascii="Times New Roman" w:hAnsi="Times New Roman" w:cs="Times New Roman"/>
          <w:sz w:val="24"/>
          <w:szCs w:val="24"/>
        </w:rPr>
        <w:t xml:space="preserve">A területfejlesztésről szóló 2023. évi CII. törvény 10. § (2) bekezdés a) pontja szerint a vármegyei önkormányzat nyomon követi és értékeli a vármegyei területfejlesztési koncepció és a vármegyei területfejlesztési programok végrehajtását, a 10. § (2) bekezdés c) pontja szerint közreműködik a területi szempontú operatív programok irányításában, megvalósításuk végrehajtásában. </w:t>
      </w:r>
    </w:p>
    <w:p w14:paraId="7F5DD3D1" w14:textId="77777777" w:rsidR="00093406" w:rsidRPr="0041760B" w:rsidRDefault="00093406" w:rsidP="00093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60B">
        <w:rPr>
          <w:rFonts w:ascii="Times New Roman" w:hAnsi="Times New Roman" w:cs="Times New Roman"/>
          <w:sz w:val="24"/>
          <w:szCs w:val="24"/>
        </w:rPr>
        <w:t xml:space="preserve">A 2021-2027 programozási időszakban az egyes európai uniós alapokból származó támogatások felhasználásának rendjéről szóló 256/2021. (V. 18.) Korm. rendelet 29. § (1) bekezdés f) pontja alapján a területi szereplő végrehajtja az ITP-t, amelynek keretében a monitoring feladatainak ellátása céljából a </w:t>
      </w:r>
      <w:proofErr w:type="spellStart"/>
      <w:r w:rsidRPr="0041760B">
        <w:rPr>
          <w:rFonts w:ascii="Times New Roman" w:hAnsi="Times New Roman" w:cs="Times New Roman"/>
          <w:sz w:val="24"/>
          <w:szCs w:val="24"/>
        </w:rPr>
        <w:t>kedvezményezettől</w:t>
      </w:r>
      <w:proofErr w:type="spellEnd"/>
      <w:r w:rsidRPr="0041760B">
        <w:rPr>
          <w:rFonts w:ascii="Times New Roman" w:hAnsi="Times New Roman" w:cs="Times New Roman"/>
          <w:sz w:val="24"/>
          <w:szCs w:val="24"/>
        </w:rPr>
        <w:t xml:space="preserve"> és az irányító hatóságtól a támogatott projektekkel összefüggésben adatszolgáltatást kérhet.</w:t>
      </w:r>
    </w:p>
    <w:p w14:paraId="4D93EC2A" w14:textId="54805B83" w:rsidR="00093406" w:rsidRPr="00B241F5" w:rsidRDefault="00093406" w:rsidP="00093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1760B">
        <w:rPr>
          <w:rFonts w:ascii="Times New Roman" w:hAnsi="Times New Roman" w:cs="Times New Roman"/>
          <w:sz w:val="24"/>
          <w:szCs w:val="24"/>
        </w:rPr>
        <w:t xml:space="preserve">A Terület- és </w:t>
      </w:r>
      <w:r w:rsidRPr="00666395">
        <w:rPr>
          <w:rFonts w:ascii="Times New Roman" w:hAnsi="Times New Roman" w:cs="Times New Roman"/>
          <w:sz w:val="24"/>
          <w:szCs w:val="24"/>
        </w:rPr>
        <w:t>Településfejlesztési Operatív Program Plusz (továbbiakban: TOP Plusz) vármegyei szintű végrehajtásáról, a vármegyei eredményekről a közgyűlés a 202</w:t>
      </w:r>
      <w:r w:rsidR="0041760B" w:rsidRPr="00666395">
        <w:rPr>
          <w:rFonts w:ascii="Times New Roman" w:hAnsi="Times New Roman" w:cs="Times New Roman"/>
          <w:sz w:val="24"/>
          <w:szCs w:val="24"/>
        </w:rPr>
        <w:t>5</w:t>
      </w:r>
      <w:r w:rsidRPr="00666395">
        <w:rPr>
          <w:rFonts w:ascii="Times New Roman" w:hAnsi="Times New Roman" w:cs="Times New Roman"/>
          <w:sz w:val="24"/>
          <w:szCs w:val="24"/>
        </w:rPr>
        <w:t xml:space="preserve">. </w:t>
      </w:r>
      <w:r w:rsidR="0041760B" w:rsidRPr="00666395">
        <w:rPr>
          <w:rFonts w:ascii="Times New Roman" w:hAnsi="Times New Roman" w:cs="Times New Roman"/>
          <w:sz w:val="24"/>
          <w:szCs w:val="24"/>
        </w:rPr>
        <w:t>április 25</w:t>
      </w:r>
      <w:r w:rsidRPr="00666395">
        <w:rPr>
          <w:rFonts w:ascii="Times New Roman" w:hAnsi="Times New Roman" w:cs="Times New Roman"/>
          <w:sz w:val="24"/>
          <w:szCs w:val="24"/>
        </w:rPr>
        <w:t xml:space="preserve">. napi ülésén kapott tájékoztatást, mely a </w:t>
      </w:r>
      <w:r w:rsidR="00666395" w:rsidRPr="00666395">
        <w:rPr>
          <w:rFonts w:ascii="Times New Roman" w:hAnsi="Times New Roman" w:cs="Times New Roman"/>
          <w:sz w:val="24"/>
          <w:szCs w:val="24"/>
        </w:rPr>
        <w:t>47</w:t>
      </w:r>
      <w:r w:rsidRPr="00666395">
        <w:rPr>
          <w:rFonts w:ascii="Times New Roman" w:hAnsi="Times New Roman" w:cs="Times New Roman"/>
          <w:sz w:val="24"/>
          <w:szCs w:val="24"/>
        </w:rPr>
        <w:t>/202</w:t>
      </w:r>
      <w:r w:rsidR="0041760B" w:rsidRPr="00666395">
        <w:rPr>
          <w:rFonts w:ascii="Times New Roman" w:hAnsi="Times New Roman" w:cs="Times New Roman"/>
          <w:sz w:val="24"/>
          <w:szCs w:val="24"/>
        </w:rPr>
        <w:t>5</w:t>
      </w:r>
      <w:r w:rsidRPr="00666395">
        <w:rPr>
          <w:rFonts w:ascii="Times New Roman" w:hAnsi="Times New Roman" w:cs="Times New Roman"/>
          <w:sz w:val="24"/>
          <w:szCs w:val="24"/>
        </w:rPr>
        <w:t>. (</w:t>
      </w:r>
      <w:r w:rsidR="0041760B" w:rsidRPr="00666395">
        <w:rPr>
          <w:rFonts w:ascii="Times New Roman" w:hAnsi="Times New Roman" w:cs="Times New Roman"/>
          <w:sz w:val="24"/>
          <w:szCs w:val="24"/>
        </w:rPr>
        <w:t>IV</w:t>
      </w:r>
      <w:r w:rsidRPr="00666395">
        <w:rPr>
          <w:rFonts w:ascii="Times New Roman" w:hAnsi="Times New Roman" w:cs="Times New Roman"/>
          <w:sz w:val="24"/>
          <w:szCs w:val="24"/>
        </w:rPr>
        <w:t xml:space="preserve">. </w:t>
      </w:r>
      <w:r w:rsidR="0041760B" w:rsidRPr="00666395">
        <w:rPr>
          <w:rFonts w:ascii="Times New Roman" w:hAnsi="Times New Roman" w:cs="Times New Roman"/>
          <w:sz w:val="24"/>
          <w:szCs w:val="24"/>
        </w:rPr>
        <w:t>25</w:t>
      </w:r>
      <w:r w:rsidRPr="00666395">
        <w:rPr>
          <w:rFonts w:ascii="Times New Roman" w:hAnsi="Times New Roman" w:cs="Times New Roman"/>
          <w:sz w:val="24"/>
          <w:szCs w:val="24"/>
        </w:rPr>
        <w:t>.) határozattal elfogadásra került</w:t>
      </w:r>
      <w:r w:rsidRPr="0041760B">
        <w:rPr>
          <w:rFonts w:ascii="Times New Roman" w:hAnsi="Times New Roman" w:cs="Times New Roman"/>
          <w:sz w:val="24"/>
          <w:szCs w:val="24"/>
        </w:rPr>
        <w:t>.</w:t>
      </w:r>
    </w:p>
    <w:p w14:paraId="3ED7EF2F" w14:textId="77777777" w:rsidR="00093406" w:rsidRPr="00666395" w:rsidRDefault="00093406" w:rsidP="000934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7CFFB570" w14:textId="77777777" w:rsidR="00093406" w:rsidRPr="00666395" w:rsidRDefault="00093406" w:rsidP="00093406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hu-HU"/>
        </w:rPr>
      </w:pPr>
      <w:r w:rsidRPr="00666395">
        <w:rPr>
          <w:rFonts w:ascii="Times New Roman" w:hAnsi="Times New Roman" w:cs="Times New Roman"/>
          <w:b/>
          <w:sz w:val="24"/>
          <w:szCs w:val="24"/>
          <w:lang w:eastAsia="hu-HU"/>
        </w:rPr>
        <w:t>Előzmények</w:t>
      </w:r>
    </w:p>
    <w:p w14:paraId="78E081F2" w14:textId="77777777" w:rsidR="00093406" w:rsidRPr="00666395" w:rsidRDefault="00093406" w:rsidP="00093406">
      <w:pPr>
        <w:pStyle w:val="Listaszerbekezds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hu-HU"/>
        </w:rPr>
      </w:pPr>
    </w:p>
    <w:p w14:paraId="57E60F48" w14:textId="6F97E103" w:rsidR="00093406" w:rsidRPr="00666395" w:rsidRDefault="00093406" w:rsidP="00093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395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666395">
        <w:rPr>
          <w:rFonts w:ascii="Times New Roman" w:hAnsi="Times New Roman" w:cs="Times New Roman"/>
          <w:sz w:val="24"/>
          <w:szCs w:val="24"/>
        </w:rPr>
        <w:t>TOP_Plusz</w:t>
      </w:r>
      <w:proofErr w:type="spellEnd"/>
      <w:r w:rsidRPr="00666395">
        <w:rPr>
          <w:rFonts w:ascii="Times New Roman" w:hAnsi="Times New Roman" w:cs="Times New Roman"/>
          <w:sz w:val="24"/>
          <w:szCs w:val="24"/>
        </w:rPr>
        <w:t xml:space="preserve"> pályázati felhívások módosítása korábban már megtörtént, ezáltal a pályázók és kedvezményezettek számára láthatóvá váltak az új értékelési szempontok. A jelenleg is zajló újraértékelés során az új szempontoknak való megfelelést ismételten vizsgálja az Irányító Hatóság. A folyamat országosan jelentős mennyiségű pályázatot érint, és bár az Irányító Hatóság azzal számolt, hogy tavaly év végére lezárulnak az újraértékelések, azok még zajlanak és előre láthatólag 2025. év </w:t>
      </w:r>
      <w:r w:rsidR="00EA6A43">
        <w:rPr>
          <w:rFonts w:ascii="Times New Roman" w:hAnsi="Times New Roman" w:cs="Times New Roman"/>
          <w:sz w:val="24"/>
          <w:szCs w:val="24"/>
        </w:rPr>
        <w:t>vég</w:t>
      </w:r>
      <w:r w:rsidRPr="00666395">
        <w:rPr>
          <w:rFonts w:ascii="Times New Roman" w:hAnsi="Times New Roman" w:cs="Times New Roman"/>
          <w:sz w:val="24"/>
          <w:szCs w:val="24"/>
        </w:rPr>
        <w:t xml:space="preserve">éig </w:t>
      </w:r>
      <w:r w:rsidR="00EA6A43">
        <w:rPr>
          <w:rFonts w:ascii="Times New Roman" w:hAnsi="Times New Roman" w:cs="Times New Roman"/>
          <w:sz w:val="24"/>
          <w:szCs w:val="24"/>
        </w:rPr>
        <w:t xml:space="preserve">vagy tovább </w:t>
      </w:r>
      <w:r w:rsidRPr="00666395">
        <w:rPr>
          <w:rFonts w:ascii="Times New Roman" w:hAnsi="Times New Roman" w:cs="Times New Roman"/>
          <w:sz w:val="24"/>
          <w:szCs w:val="24"/>
        </w:rPr>
        <w:t>is elhúzódhat a folyamat</w:t>
      </w:r>
      <w:r w:rsidR="00EA6A43">
        <w:rPr>
          <w:rFonts w:ascii="Times New Roman" w:hAnsi="Times New Roman" w:cs="Times New Roman"/>
          <w:sz w:val="24"/>
          <w:szCs w:val="24"/>
        </w:rPr>
        <w:t xml:space="preserve">, mivel az Európai Bizottság még nem </w:t>
      </w:r>
      <w:proofErr w:type="spellStart"/>
      <w:r w:rsidR="00EA6A43">
        <w:rPr>
          <w:rFonts w:ascii="Times New Roman" w:hAnsi="Times New Roman" w:cs="Times New Roman"/>
          <w:sz w:val="24"/>
          <w:szCs w:val="24"/>
        </w:rPr>
        <w:t>validálta</w:t>
      </w:r>
      <w:proofErr w:type="spellEnd"/>
      <w:r w:rsidR="00EA6A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A6A43">
        <w:rPr>
          <w:rFonts w:ascii="Times New Roman" w:hAnsi="Times New Roman" w:cs="Times New Roman"/>
          <w:sz w:val="24"/>
          <w:szCs w:val="24"/>
        </w:rPr>
        <w:t>teljes körűen</w:t>
      </w:r>
      <w:proofErr w:type="gramEnd"/>
      <w:r w:rsidR="00EA6A43">
        <w:rPr>
          <w:rFonts w:ascii="Times New Roman" w:hAnsi="Times New Roman" w:cs="Times New Roman"/>
          <w:sz w:val="24"/>
          <w:szCs w:val="24"/>
        </w:rPr>
        <w:t xml:space="preserve"> az újraértékeléseket</w:t>
      </w:r>
      <w:r w:rsidRPr="00666395">
        <w:rPr>
          <w:rFonts w:ascii="Times New Roman" w:hAnsi="Times New Roman" w:cs="Times New Roman"/>
          <w:sz w:val="24"/>
          <w:szCs w:val="24"/>
        </w:rPr>
        <w:t>.</w:t>
      </w:r>
    </w:p>
    <w:p w14:paraId="2FE52C6D" w14:textId="77777777" w:rsidR="00093406" w:rsidRPr="00B241F5" w:rsidRDefault="00093406" w:rsidP="00093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5E62153" w14:textId="77777777" w:rsidR="00093406" w:rsidRPr="00666395" w:rsidRDefault="00093406" w:rsidP="00093406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hu-HU"/>
        </w:rPr>
      </w:pPr>
      <w:r w:rsidRPr="00666395">
        <w:rPr>
          <w:rFonts w:ascii="Times New Roman" w:hAnsi="Times New Roman" w:cs="Times New Roman"/>
          <w:b/>
          <w:sz w:val="24"/>
          <w:szCs w:val="24"/>
          <w:lang w:eastAsia="hu-HU"/>
        </w:rPr>
        <w:t>A TOP Plusz vármegyei végrehajtásával kapcsolatos általános tapasztalatok</w:t>
      </w:r>
    </w:p>
    <w:p w14:paraId="68992AD1" w14:textId="77777777" w:rsidR="00093406" w:rsidRPr="00666395" w:rsidRDefault="00093406" w:rsidP="000934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hu-HU"/>
        </w:rPr>
      </w:pPr>
    </w:p>
    <w:p w14:paraId="570C8092" w14:textId="77777777" w:rsidR="00093406" w:rsidRPr="00666395" w:rsidRDefault="00093406" w:rsidP="000934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666395">
        <w:rPr>
          <w:rFonts w:ascii="Times New Roman" w:hAnsi="Times New Roman" w:cs="Times New Roman"/>
          <w:sz w:val="24"/>
          <w:szCs w:val="24"/>
          <w:lang w:eastAsia="hu-HU"/>
        </w:rPr>
        <w:t xml:space="preserve">A 2021-2027-es időszak egyes </w:t>
      </w:r>
      <w:proofErr w:type="spellStart"/>
      <w:r w:rsidRPr="00666395">
        <w:rPr>
          <w:rFonts w:ascii="Times New Roman" w:hAnsi="Times New Roman" w:cs="Times New Roman"/>
          <w:sz w:val="24"/>
          <w:szCs w:val="24"/>
          <w:lang w:eastAsia="hu-HU"/>
        </w:rPr>
        <w:t>TOP_Plusz</w:t>
      </w:r>
      <w:proofErr w:type="spellEnd"/>
      <w:r w:rsidRPr="00666395">
        <w:rPr>
          <w:rFonts w:ascii="Times New Roman" w:hAnsi="Times New Roman" w:cs="Times New Roman"/>
          <w:sz w:val="24"/>
          <w:szCs w:val="24"/>
          <w:lang w:eastAsia="hu-HU"/>
        </w:rPr>
        <w:t xml:space="preserve"> felhívások (TOP_Plusz-</w:t>
      </w:r>
      <w:r w:rsidRPr="00666395">
        <w:rPr>
          <w:rFonts w:ascii="Times New Roman" w:eastAsia="Times New Roman" w:hAnsi="Times New Roman" w:cs="Times New Roman"/>
          <w:sz w:val="24"/>
          <w:szCs w:val="24"/>
          <w:lang w:eastAsia="hu-HU"/>
        </w:rPr>
        <w:t>1.1.1-21, 1.1.3-21, 1.2.1-21, 1.2.2-21, 1.2.3-21, 1.3.1-21, 2.1.1-21, 3.1.1-21, 3.1.2-21, 3.3.1-21, 3.3.2-21, 6.1.2-21)</w:t>
      </w:r>
      <w:r w:rsidRPr="00666395">
        <w:rPr>
          <w:rFonts w:ascii="Times New Roman" w:hAnsi="Times New Roman" w:cs="Times New Roman"/>
          <w:sz w:val="24"/>
          <w:szCs w:val="24"/>
          <w:lang w:eastAsia="hu-HU"/>
        </w:rPr>
        <w:t xml:space="preserve"> pályázatai kapcsán a vármegyei közgyűlés már 2022. évben döntést hozott; a Támogatási Szerződések (TSZ) megkötésre kerültek. </w:t>
      </w:r>
    </w:p>
    <w:p w14:paraId="15AD496B" w14:textId="77777777" w:rsidR="00093406" w:rsidRPr="00666395" w:rsidRDefault="00093406" w:rsidP="00093406">
      <w:pPr>
        <w:pStyle w:val="Default"/>
        <w:jc w:val="both"/>
        <w:rPr>
          <w:rFonts w:ascii="Times New Roman" w:hAnsi="Times New Roman" w:cs="Times New Roman"/>
        </w:rPr>
      </w:pPr>
    </w:p>
    <w:p w14:paraId="6FF51CF9" w14:textId="1F9173F3" w:rsidR="00093406" w:rsidRPr="00666395" w:rsidRDefault="00093406" w:rsidP="00666395">
      <w:pPr>
        <w:pStyle w:val="Default"/>
        <w:jc w:val="both"/>
        <w:rPr>
          <w:rFonts w:ascii="Times New Roman" w:hAnsi="Times New Roman" w:cs="Times New Roman"/>
        </w:rPr>
      </w:pPr>
      <w:r w:rsidRPr="00666395">
        <w:rPr>
          <w:rFonts w:ascii="Times New Roman" w:hAnsi="Times New Roman" w:cs="Times New Roman"/>
        </w:rPr>
        <w:t xml:space="preserve">A </w:t>
      </w:r>
      <w:proofErr w:type="spellStart"/>
      <w:r w:rsidRPr="00666395">
        <w:rPr>
          <w:rFonts w:ascii="Times New Roman" w:hAnsi="Times New Roman" w:cs="Times New Roman"/>
        </w:rPr>
        <w:t>TOP_Plusz</w:t>
      </w:r>
      <w:proofErr w:type="spellEnd"/>
      <w:r w:rsidRPr="00666395">
        <w:rPr>
          <w:rFonts w:ascii="Times New Roman" w:hAnsi="Times New Roman" w:cs="Times New Roman"/>
        </w:rPr>
        <w:t xml:space="preserve"> projektek kedvezményezettjei </w:t>
      </w:r>
      <w:r w:rsidR="00666395" w:rsidRPr="00666395">
        <w:rPr>
          <w:rFonts w:ascii="Times New Roman" w:hAnsi="Times New Roman" w:cs="Times New Roman"/>
        </w:rPr>
        <w:t xml:space="preserve">elkezdték a projektek megvalósítását, azonban egyes projektek esetén elmaradás tapasztalható. A projektek megvalósításának megkönnyítése érdekében 2025. nov. 25. napon az Irányító </w:t>
      </w:r>
      <w:r w:rsidR="008D7B65">
        <w:rPr>
          <w:rFonts w:ascii="Times New Roman" w:hAnsi="Times New Roman" w:cs="Times New Roman"/>
        </w:rPr>
        <w:t>H</w:t>
      </w:r>
      <w:r w:rsidR="00666395" w:rsidRPr="00666395">
        <w:rPr>
          <w:rFonts w:ascii="Times New Roman" w:hAnsi="Times New Roman" w:cs="Times New Roman"/>
        </w:rPr>
        <w:t xml:space="preserve">atóság, a Közreműködő Szervezet, az érintett kedvezményezettek és a területi szereplő – az Irányító </w:t>
      </w:r>
      <w:r w:rsidR="008D7B65">
        <w:rPr>
          <w:rFonts w:ascii="Times New Roman" w:hAnsi="Times New Roman" w:cs="Times New Roman"/>
        </w:rPr>
        <w:t>H</w:t>
      </w:r>
      <w:r w:rsidR="00666395" w:rsidRPr="00666395">
        <w:rPr>
          <w:rFonts w:ascii="Times New Roman" w:hAnsi="Times New Roman" w:cs="Times New Roman"/>
        </w:rPr>
        <w:t>ató</w:t>
      </w:r>
      <w:r w:rsidR="008D7B65">
        <w:rPr>
          <w:rFonts w:ascii="Times New Roman" w:hAnsi="Times New Roman" w:cs="Times New Roman"/>
        </w:rPr>
        <w:t>s</w:t>
      </w:r>
      <w:r w:rsidR="00666395" w:rsidRPr="00666395">
        <w:rPr>
          <w:rFonts w:ascii="Times New Roman" w:hAnsi="Times New Roman" w:cs="Times New Roman"/>
        </w:rPr>
        <w:t>ág által összehívott projekt felügyeleti rendszer keretében- egyeztetést tartott a Magyar Államkincstár Hajdú-Bihar Vármegyei Igazgatóságán.</w:t>
      </w:r>
    </w:p>
    <w:p w14:paraId="29656728" w14:textId="77777777" w:rsidR="00093406" w:rsidRPr="00B241F5" w:rsidRDefault="00093406" w:rsidP="000934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eastAsia="hu-HU"/>
        </w:rPr>
      </w:pPr>
    </w:p>
    <w:p w14:paraId="3233362F" w14:textId="77777777" w:rsidR="00093406" w:rsidRPr="00B241F5" w:rsidRDefault="00093406" w:rsidP="000934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eastAsia="hu-HU"/>
        </w:rPr>
      </w:pPr>
    </w:p>
    <w:p w14:paraId="71B27BF1" w14:textId="77777777" w:rsidR="00093406" w:rsidRPr="00B241F5" w:rsidRDefault="00093406" w:rsidP="000934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eastAsia="hu-HU"/>
        </w:rPr>
      </w:pPr>
    </w:p>
    <w:p w14:paraId="6749C8B4" w14:textId="77777777" w:rsidR="00093406" w:rsidRPr="00B241F5" w:rsidRDefault="00093406" w:rsidP="000934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eastAsia="hu-HU"/>
        </w:rPr>
      </w:pPr>
    </w:p>
    <w:p w14:paraId="14A5A0D9" w14:textId="77777777" w:rsidR="00093406" w:rsidRPr="00B241F5" w:rsidRDefault="00093406" w:rsidP="000934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eastAsia="hu-HU"/>
        </w:rPr>
      </w:pPr>
    </w:p>
    <w:p w14:paraId="3118572F" w14:textId="77777777" w:rsidR="00093406" w:rsidRPr="00B241F5" w:rsidRDefault="00093406" w:rsidP="000934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eastAsia="hu-HU"/>
        </w:rPr>
      </w:pPr>
    </w:p>
    <w:p w14:paraId="0DD58250" w14:textId="77777777" w:rsidR="00093406" w:rsidRPr="00B241F5" w:rsidRDefault="00093406" w:rsidP="000934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eastAsia="hu-HU"/>
        </w:rPr>
      </w:pPr>
    </w:p>
    <w:p w14:paraId="52F5018A" w14:textId="77777777" w:rsidR="00093406" w:rsidRPr="00B241F5" w:rsidRDefault="00093406" w:rsidP="000934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eastAsia="hu-HU"/>
        </w:rPr>
        <w:sectPr w:rsidR="00093406" w:rsidRPr="00B241F5" w:rsidSect="00093406">
          <w:footerReference w:type="default" r:id="rId8"/>
          <w:pgSz w:w="11906" w:h="16838"/>
          <w:pgMar w:top="851" w:right="992" w:bottom="567" w:left="851" w:header="709" w:footer="709" w:gutter="0"/>
          <w:cols w:space="708"/>
          <w:titlePg/>
          <w:docGrid w:linePitch="360"/>
        </w:sectPr>
      </w:pPr>
    </w:p>
    <w:p w14:paraId="1C48FA1B" w14:textId="77777777" w:rsidR="00093406" w:rsidRPr="00B241F5" w:rsidRDefault="00093406" w:rsidP="000934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eastAsia="hu-HU"/>
        </w:rPr>
      </w:pPr>
    </w:p>
    <w:p w14:paraId="36AF91A9" w14:textId="77777777" w:rsidR="00093406" w:rsidRPr="002A1E5F" w:rsidRDefault="00093406" w:rsidP="00093406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eastAsia="hu-HU"/>
        </w:rPr>
      </w:pPr>
      <w:r w:rsidRPr="002A1E5F">
        <w:rPr>
          <w:rFonts w:ascii="Times New Roman" w:hAnsi="Times New Roman" w:cs="Times New Roman"/>
          <w:b/>
          <w:sz w:val="24"/>
          <w:szCs w:val="24"/>
          <w:lang w:eastAsia="hu-HU"/>
        </w:rPr>
        <w:t>Az ITP-ben vállalt vármegyei indikátorok teljesülése</w:t>
      </w:r>
    </w:p>
    <w:p w14:paraId="0873CE8C" w14:textId="77777777" w:rsidR="00093406" w:rsidRPr="00B241F5" w:rsidRDefault="00093406" w:rsidP="00093406">
      <w:pPr>
        <w:pStyle w:val="Listaszerbekezds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highlight w:val="yellow"/>
          <w:lang w:eastAsia="hu-HU"/>
        </w:rPr>
      </w:pPr>
    </w:p>
    <w:p w14:paraId="5DC795A4" w14:textId="27BC9DC3" w:rsidR="00093406" w:rsidRPr="008943D9" w:rsidRDefault="00093406" w:rsidP="000934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8943D9">
        <w:rPr>
          <w:rFonts w:ascii="Times New Roman" w:hAnsi="Times New Roman" w:cs="Times New Roman"/>
          <w:sz w:val="24"/>
          <w:szCs w:val="24"/>
          <w:lang w:eastAsia="hu-HU"/>
        </w:rPr>
        <w:t>Az Irányító Hatóságtól kapott adatszolgáltatás alapján az alábbi táblázat tartalmazza a vármegyei indikátorokat</w:t>
      </w:r>
      <w:r w:rsidR="008943D9" w:rsidRPr="008943D9">
        <w:rPr>
          <w:rFonts w:ascii="Times New Roman" w:hAnsi="Times New Roman" w:cs="Times New Roman"/>
          <w:sz w:val="24"/>
          <w:szCs w:val="24"/>
          <w:lang w:eastAsia="hu-HU"/>
        </w:rPr>
        <w:t>.</w:t>
      </w:r>
      <w:r w:rsidRPr="008943D9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</w:p>
    <w:p w14:paraId="4CC4AB0A" w14:textId="77777777" w:rsidR="00093406" w:rsidRPr="00B241F5" w:rsidRDefault="00093406" w:rsidP="000934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eastAsia="hu-HU"/>
        </w:rPr>
      </w:pPr>
    </w:p>
    <w:p w14:paraId="2FE27F24" w14:textId="77777777" w:rsidR="00093406" w:rsidRPr="00B241F5" w:rsidRDefault="00093406" w:rsidP="00093406">
      <w:pPr>
        <w:pStyle w:val="Listaszerbekezds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highlight w:val="yellow"/>
          <w:lang w:eastAsia="hu-HU"/>
        </w:rPr>
      </w:pPr>
    </w:p>
    <w:p w14:paraId="1F34601F" w14:textId="77777777" w:rsidR="00093406" w:rsidRPr="00B241F5" w:rsidRDefault="00093406" w:rsidP="00093406">
      <w:pPr>
        <w:pStyle w:val="Default"/>
        <w:jc w:val="both"/>
        <w:rPr>
          <w:rFonts w:ascii="Times New Roman" w:hAnsi="Times New Roman" w:cs="Times New Roman"/>
          <w:color w:val="auto"/>
          <w:highlight w:val="yellow"/>
        </w:rPr>
      </w:pPr>
    </w:p>
    <w:tbl>
      <w:tblPr>
        <w:tblW w:w="1981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1154"/>
        <w:gridCol w:w="3665"/>
        <w:gridCol w:w="994"/>
        <w:gridCol w:w="1620"/>
        <w:gridCol w:w="1240"/>
        <w:gridCol w:w="1109"/>
        <w:gridCol w:w="1699"/>
        <w:gridCol w:w="6781"/>
      </w:tblGrid>
      <w:tr w:rsidR="00093406" w:rsidRPr="00B241F5" w14:paraId="7424C62B" w14:textId="77777777" w:rsidTr="001E4167">
        <w:trPr>
          <w:trHeight w:val="778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7584926" w14:textId="77777777" w:rsidR="00093406" w:rsidRPr="002A1E5F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Prioritási tengely</w:t>
            </w:r>
          </w:p>
          <w:p w14:paraId="50FB0002" w14:textId="77777777" w:rsidR="00093406" w:rsidRPr="002A1E5F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83C3853" w14:textId="77777777" w:rsidR="00093406" w:rsidRPr="002A1E5F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Indikátor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9499BB2" w14:textId="77777777" w:rsidR="00093406" w:rsidRPr="002A1E5F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Mérték-egység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7E6E9CF" w14:textId="77777777" w:rsidR="00093406" w:rsidRPr="002A1E5F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Vármegye által vállalt mérföldkő (2024) a hatályos ITP szerint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0A4847C" w14:textId="77777777" w:rsidR="00093406" w:rsidRPr="002A1E5F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Vármegye által vállalt célérték a hatályos ITP szerint (2029)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27B8488" w14:textId="77777777" w:rsidR="00093406" w:rsidRPr="002A1E5F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Hatályos TSZ állomány szerinti vállalási érték 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E1F2"/>
          </w:tcPr>
          <w:p w14:paraId="77981611" w14:textId="77777777" w:rsidR="00093406" w:rsidRPr="002A1E5F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  <w:p w14:paraId="20938104" w14:textId="77777777" w:rsidR="00093406" w:rsidRPr="002A1E5F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  <w:p w14:paraId="55C92D3A" w14:textId="77777777" w:rsidR="00093406" w:rsidRPr="002A1E5F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Indikátor tényérték</w:t>
            </w:r>
          </w:p>
        </w:tc>
        <w:tc>
          <w:tcPr>
            <w:tcW w:w="6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1D8DB72" w14:textId="77777777" w:rsidR="00093406" w:rsidRPr="002A1E5F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Megjegyzés</w:t>
            </w:r>
          </w:p>
          <w:p w14:paraId="176761EF" w14:textId="77777777" w:rsidR="00093406" w:rsidRPr="002A1E5F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  <w:tr w:rsidR="00093406" w:rsidRPr="00B241F5" w14:paraId="1CDDFD66" w14:textId="77777777" w:rsidTr="001E4167">
        <w:trPr>
          <w:trHeight w:val="412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1D3503D" w14:textId="77777777" w:rsidR="00093406" w:rsidRPr="00B241F5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hu-HU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2BA0E4C" w14:textId="77777777" w:rsidR="00093406" w:rsidRPr="002A1E5F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Azonosító</w:t>
            </w:r>
          </w:p>
        </w:tc>
        <w:tc>
          <w:tcPr>
            <w:tcW w:w="3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6C36728" w14:textId="77777777" w:rsidR="00093406" w:rsidRPr="002A1E5F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159326F" w14:textId="77777777" w:rsidR="00093406" w:rsidRPr="00B241F5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hu-HU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5F0C26A" w14:textId="77777777" w:rsidR="00093406" w:rsidRPr="00B241F5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hu-HU"/>
              </w:rPr>
            </w:pPr>
          </w:p>
        </w:tc>
        <w:tc>
          <w:tcPr>
            <w:tcW w:w="1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05F1A2C" w14:textId="77777777" w:rsidR="00093406" w:rsidRPr="00B241F5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hu-HU"/>
              </w:rPr>
            </w:pPr>
          </w:p>
        </w:tc>
        <w:tc>
          <w:tcPr>
            <w:tcW w:w="11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B7BF6A2" w14:textId="77777777" w:rsidR="00093406" w:rsidRPr="00B241F5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hu-HU"/>
              </w:rPr>
            </w:pPr>
          </w:p>
        </w:tc>
        <w:tc>
          <w:tcPr>
            <w:tcW w:w="16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14:paraId="2DB16704" w14:textId="77777777" w:rsidR="00093406" w:rsidRPr="00B241F5" w:rsidRDefault="00093406" w:rsidP="001E4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hu-HU"/>
              </w:rPr>
            </w:pPr>
          </w:p>
        </w:tc>
        <w:tc>
          <w:tcPr>
            <w:tcW w:w="6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9C9C6D8" w14:textId="77777777" w:rsidR="00093406" w:rsidRPr="00B241F5" w:rsidRDefault="00093406" w:rsidP="001E4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hu-HU"/>
              </w:rPr>
            </w:pPr>
          </w:p>
        </w:tc>
      </w:tr>
      <w:tr w:rsidR="00093406" w:rsidRPr="00B241F5" w14:paraId="24ABA959" w14:textId="77777777" w:rsidTr="001E4167">
        <w:trPr>
          <w:trHeight w:val="1129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EFCFD" w14:textId="77777777" w:rsidR="00093406" w:rsidRPr="002A1E5F" w:rsidRDefault="00093406" w:rsidP="001E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TOP_Plusz-1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C1B99" w14:textId="77777777" w:rsidR="00093406" w:rsidRPr="002A1E5F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TPO12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2CBA46F" w14:textId="77777777" w:rsidR="00093406" w:rsidRPr="002A1E5F" w:rsidRDefault="00093406" w:rsidP="001E4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Megvalósított megyei szemléletformáló és tudatosságnövelő programok száma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006DF" w14:textId="77777777" w:rsidR="00093406" w:rsidRPr="002A1E5F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db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9C47CF7" w14:textId="77777777" w:rsidR="00093406" w:rsidRPr="00DE2020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202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1FAF569" w14:textId="77777777" w:rsidR="00093406" w:rsidRPr="00DE2020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E2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3A58348" w14:textId="77777777" w:rsidR="00093406" w:rsidRPr="00DE2020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202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AA153A" w14:textId="77777777" w:rsidR="00093406" w:rsidRPr="00DE2020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202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D5B7D" w14:textId="77777777" w:rsidR="00093406" w:rsidRPr="00DE2020" w:rsidRDefault="00093406" w:rsidP="001E4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202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093406" w:rsidRPr="00B241F5" w14:paraId="06E25DB6" w14:textId="77777777" w:rsidTr="001E4167">
        <w:trPr>
          <w:trHeight w:val="975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C7420" w14:textId="77777777" w:rsidR="00093406" w:rsidRPr="002A1E5F" w:rsidRDefault="00093406" w:rsidP="001E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TOP_Plusz-1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FE3B0" w14:textId="77777777" w:rsidR="00093406" w:rsidRPr="002A1E5F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RCO26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6DEBEA3" w14:textId="77777777" w:rsidR="00093406" w:rsidRPr="002A1E5F" w:rsidRDefault="00093406" w:rsidP="001E4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Az éghajlatváltozáshoz való alkalmazkodás céljából épített vagy felújított zöld infrastruktúra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45C0B" w14:textId="77777777" w:rsidR="00093406" w:rsidRPr="002A1E5F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ha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B8BC9E4" w14:textId="77777777" w:rsidR="00093406" w:rsidRPr="00DE2020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202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CCD1D00" w14:textId="77777777" w:rsidR="00093406" w:rsidRPr="00DE2020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E2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3DE5581" w14:textId="52743C15" w:rsidR="00093406" w:rsidRPr="00DE2020" w:rsidRDefault="00DE2020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202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</w:t>
            </w:r>
            <w:r w:rsidR="00093406" w:rsidRPr="00DE202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</w:t>
            </w:r>
            <w:r w:rsidRPr="00DE202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38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2FACD" w14:textId="229C5DA7" w:rsidR="00093406" w:rsidRPr="00DE2020" w:rsidRDefault="00DE2020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202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6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C4224" w14:textId="3BB30B74" w:rsidR="00093406" w:rsidRPr="00B241F5" w:rsidRDefault="00DE2020" w:rsidP="001E4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  <w:r w:rsidRPr="00DE202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jelentős túlvállalásra tekintettel a rögzítések felülvizsgálata várható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</w:tr>
      <w:tr w:rsidR="00093406" w:rsidRPr="00B241F5" w14:paraId="2B2F0331" w14:textId="77777777" w:rsidTr="001E4167">
        <w:trPr>
          <w:trHeight w:val="692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1C1B2" w14:textId="77777777" w:rsidR="00093406" w:rsidRPr="002A1E5F" w:rsidRDefault="00093406" w:rsidP="001E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TOP_Plusz-1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09471" w14:textId="77777777" w:rsidR="00093406" w:rsidRPr="002A1E5F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RCR35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2AB9787" w14:textId="77777777" w:rsidR="00093406" w:rsidRPr="002A1E5F" w:rsidRDefault="00093406" w:rsidP="001E4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Árvízvédelmi intézkedésekkel érintett lakosság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10623" w14:textId="77777777" w:rsidR="00093406" w:rsidRPr="002A1E5F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fő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2B53C5E" w14:textId="77777777" w:rsidR="00093406" w:rsidRPr="004458F5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58F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DD998D9" w14:textId="77777777" w:rsidR="00093406" w:rsidRPr="004458F5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458F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9 429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FC9873C" w14:textId="554BCAE1" w:rsidR="00093406" w:rsidRPr="004458F5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58F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  <w:r w:rsidR="004458F5" w:rsidRPr="004458F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1 768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5F0CC" w14:textId="77777777" w:rsidR="00093406" w:rsidRPr="004458F5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58F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6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3A072" w14:textId="063A51D2" w:rsidR="00093406" w:rsidRPr="004458F5" w:rsidRDefault="004458F5" w:rsidP="001E4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58F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093406" w:rsidRPr="00B241F5" w14:paraId="1BCB3537" w14:textId="77777777" w:rsidTr="001E4167">
        <w:trPr>
          <w:trHeight w:val="672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A371B" w14:textId="77777777" w:rsidR="00093406" w:rsidRPr="002A1E5F" w:rsidRDefault="00093406" w:rsidP="001E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TOP_Plusz-1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0EB83" w14:textId="77777777" w:rsidR="00093406" w:rsidRPr="002A1E5F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RCO58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D97DF39" w14:textId="77777777" w:rsidR="00093406" w:rsidRPr="002A1E5F" w:rsidRDefault="00093406" w:rsidP="001E4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Támogatott célzott kerékpáros infrastruktúra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B775B" w14:textId="77777777" w:rsidR="00093406" w:rsidRPr="004458F5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45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DFEBC65" w14:textId="77777777" w:rsidR="00093406" w:rsidRPr="004458F5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58F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08E3C77" w14:textId="77777777" w:rsidR="00093406" w:rsidRPr="004458F5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58F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BB28FE7" w14:textId="77777777" w:rsidR="00093406" w:rsidRPr="004458F5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58F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21,86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74F56" w14:textId="77777777" w:rsidR="00093406" w:rsidRPr="004458F5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58F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B557B" w14:textId="77777777" w:rsidR="00093406" w:rsidRPr="004458F5" w:rsidRDefault="00093406" w:rsidP="001E4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58F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093406" w:rsidRPr="00B241F5" w14:paraId="703BC1C1" w14:textId="77777777" w:rsidTr="001E4167">
        <w:trPr>
          <w:trHeight w:val="559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5372D" w14:textId="77777777" w:rsidR="00093406" w:rsidRPr="002A1E5F" w:rsidRDefault="00093406" w:rsidP="001E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TOP_Plusz-1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29C07" w14:textId="77777777" w:rsidR="00093406" w:rsidRPr="002A1E5F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RCR64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D889ADA" w14:textId="77777777" w:rsidR="00093406" w:rsidRPr="002A1E5F" w:rsidRDefault="00093406" w:rsidP="001E4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 célzott kerékpáros infrastruktúra éves felhasználói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95CA9" w14:textId="77777777" w:rsidR="00093406" w:rsidRPr="002A1E5F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fő/év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8549377" w14:textId="77777777" w:rsidR="00093406" w:rsidRPr="004458F5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58F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FAA0E6D" w14:textId="77777777" w:rsidR="00093406" w:rsidRPr="004458F5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58F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103 578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9F84F67" w14:textId="77777777" w:rsidR="00093406" w:rsidRPr="004458F5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58F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AFA28" w14:textId="77777777" w:rsidR="00093406" w:rsidRPr="004458F5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58F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BC544" w14:textId="77777777" w:rsidR="00093406" w:rsidRPr="004458F5" w:rsidRDefault="00093406" w:rsidP="001E4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58F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093406" w:rsidRPr="00B241F5" w14:paraId="05C70B42" w14:textId="77777777" w:rsidTr="001E4167">
        <w:trPr>
          <w:trHeight w:val="412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4F349" w14:textId="77777777" w:rsidR="00093406" w:rsidRPr="002A1E5F" w:rsidRDefault="00093406" w:rsidP="001E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TOP_Plusz-1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62031" w14:textId="77777777" w:rsidR="00093406" w:rsidRPr="002A1E5F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TPO08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0BDEE7D" w14:textId="77777777" w:rsidR="00093406" w:rsidRPr="002A1E5F" w:rsidRDefault="00093406" w:rsidP="001E4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A rehabilitált talaj </w:t>
            </w:r>
            <w:proofErr w:type="spellStart"/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összkiterjedése</w:t>
            </w:r>
            <w:proofErr w:type="spellEnd"/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30076" w14:textId="77777777" w:rsidR="00093406" w:rsidRPr="002A1E5F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ha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3E57A8B" w14:textId="77777777" w:rsidR="00093406" w:rsidRPr="004458F5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58F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59B11DF" w14:textId="77777777" w:rsidR="00093406" w:rsidRPr="004458F5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45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0,9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90956A7" w14:textId="77777777" w:rsidR="00093406" w:rsidRPr="004458F5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58F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E18D1" w14:textId="77777777" w:rsidR="00093406" w:rsidRPr="004458F5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58F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ABCB9" w14:textId="77777777" w:rsidR="00093406" w:rsidRPr="004458F5" w:rsidRDefault="00093406" w:rsidP="001E4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58F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093406" w:rsidRPr="00B241F5" w14:paraId="7B54D902" w14:textId="77777777" w:rsidTr="001E4167">
        <w:trPr>
          <w:trHeight w:val="945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794CE" w14:textId="77777777" w:rsidR="00093406" w:rsidRPr="002A1E5F" w:rsidRDefault="00093406" w:rsidP="001E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TOP_Plusz-1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474A7" w14:textId="77777777" w:rsidR="00093406" w:rsidRPr="002A1E5F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TPO10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05C385C" w14:textId="77777777" w:rsidR="00093406" w:rsidRPr="002A1E5F" w:rsidRDefault="00093406" w:rsidP="001E4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Kialakított új, forgalomcsillapított övezetek száma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AE77B" w14:textId="77777777" w:rsidR="00093406" w:rsidRPr="002A1E5F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ABF2D27" w14:textId="77777777" w:rsidR="00093406" w:rsidRPr="0062091D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2091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3341859" w14:textId="77777777" w:rsidR="00093406" w:rsidRPr="0062091D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2091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096C661" w14:textId="77777777" w:rsidR="00093406" w:rsidRPr="0062091D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2091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4BFB" w14:textId="77777777" w:rsidR="00093406" w:rsidRPr="0062091D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2091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C6BC" w14:textId="77777777" w:rsidR="00093406" w:rsidRPr="0062091D" w:rsidRDefault="00093406" w:rsidP="001E4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2091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093406" w:rsidRPr="00B241F5" w14:paraId="376C78F8" w14:textId="77777777" w:rsidTr="001E4167">
        <w:trPr>
          <w:trHeight w:val="63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62335" w14:textId="77777777" w:rsidR="00093406" w:rsidRPr="002A1E5F" w:rsidRDefault="00093406" w:rsidP="001E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TOP_Plusz-1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156EF" w14:textId="77777777" w:rsidR="00093406" w:rsidRPr="002A1E5F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TPO11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080EEE2" w14:textId="77777777" w:rsidR="00093406" w:rsidRPr="002A1E5F" w:rsidRDefault="00093406" w:rsidP="001E4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Fejlesztéssel érintett közösségi területek nagysága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93428" w14:textId="77777777" w:rsidR="00093406" w:rsidRPr="002A1E5F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</w:t>
            </w: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232DD7D" w14:textId="77777777" w:rsidR="00093406" w:rsidRPr="00EB0E8D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B0E8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467E118" w14:textId="77777777" w:rsidR="00093406" w:rsidRPr="00EB0E8D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B0E8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7 692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0334A02" w14:textId="638453F0" w:rsidR="00093406" w:rsidRPr="00EB0E8D" w:rsidRDefault="00EB0E8D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B0E8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39 585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04F8" w14:textId="77777777" w:rsidR="00093406" w:rsidRPr="00EB0E8D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B0E8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A7A8E" w14:textId="6FF02AA1" w:rsidR="00093406" w:rsidRPr="00B241F5" w:rsidRDefault="00EB0E8D" w:rsidP="001E4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  <w:r w:rsidRPr="00DE202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jelentős túlvállalásra tekintettel a rögzítések felülvizsgálata várható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</w:tr>
      <w:tr w:rsidR="00093406" w:rsidRPr="00B241F5" w14:paraId="523ED3FF" w14:textId="77777777" w:rsidTr="001E4167">
        <w:trPr>
          <w:trHeight w:val="539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9A4B3" w14:textId="77777777" w:rsidR="00093406" w:rsidRPr="002A1E5F" w:rsidRDefault="00093406" w:rsidP="001E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TOP_Plusz-1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0425E" w14:textId="77777777" w:rsidR="00093406" w:rsidRPr="002A1E5F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TPO35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85ED3BC" w14:textId="77777777" w:rsidR="00093406" w:rsidRPr="002A1E5F" w:rsidRDefault="00093406" w:rsidP="001E4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Bel- és csapadék-vízvédelmi létesítmények hossza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DA6FE" w14:textId="77777777" w:rsidR="00093406" w:rsidRPr="002A1E5F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02C33FD" w14:textId="77777777" w:rsidR="00093406" w:rsidRPr="00EB0E8D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B0E8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AD36953" w14:textId="77777777" w:rsidR="00093406" w:rsidRPr="00EB0E8D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B0E8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66 643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B7C44A8" w14:textId="2079D81B" w:rsidR="00093406" w:rsidRPr="00EB0E8D" w:rsidRDefault="00EB0E8D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B0E8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26 496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C104" w14:textId="77777777" w:rsidR="00093406" w:rsidRPr="00EB0E8D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B0E8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38414" w14:textId="0DA323E7" w:rsidR="00093406" w:rsidRPr="00EB0E8D" w:rsidRDefault="00EB0E8D" w:rsidP="001E4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B0E8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093406" w:rsidRPr="00B241F5" w14:paraId="53744EC2" w14:textId="77777777" w:rsidTr="001E4167">
        <w:trPr>
          <w:trHeight w:val="63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7CA95" w14:textId="77777777" w:rsidR="00093406" w:rsidRPr="002A1E5F" w:rsidRDefault="00093406" w:rsidP="001E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TOP_Plusz-1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39403" w14:textId="77777777" w:rsidR="00093406" w:rsidRPr="002A1E5F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RCO65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25227C9" w14:textId="77777777" w:rsidR="00093406" w:rsidRPr="002A1E5F" w:rsidRDefault="00093406" w:rsidP="001E4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Az új vagy korszerűsített szociális lakások kapacitása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D04B1" w14:textId="77777777" w:rsidR="00093406" w:rsidRPr="002A1E5F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fő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839B665" w14:textId="77777777" w:rsidR="00093406" w:rsidRPr="00EB0E8D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B0E8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9172519" w14:textId="77777777" w:rsidR="00093406" w:rsidRPr="00EB0E8D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B0E8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7F6F2D8" w14:textId="77777777" w:rsidR="00093406" w:rsidRPr="00EB0E8D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B0E8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F1C3D" w14:textId="77777777" w:rsidR="00093406" w:rsidRPr="00EB0E8D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B0E8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2CD9" w14:textId="469001B9" w:rsidR="00093406" w:rsidRPr="00EB0E8D" w:rsidRDefault="00EB0E8D" w:rsidP="001E4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B0E8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093406" w:rsidRPr="00B241F5" w14:paraId="7AA97767" w14:textId="77777777" w:rsidTr="001E4167">
        <w:trPr>
          <w:trHeight w:val="387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E3EB8" w14:textId="77777777" w:rsidR="00093406" w:rsidRPr="002A1E5F" w:rsidRDefault="00093406" w:rsidP="001E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TOP_Plusz-1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8F54E" w14:textId="77777777" w:rsidR="00093406" w:rsidRPr="002A1E5F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TPR09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DA790B9" w14:textId="77777777" w:rsidR="00093406" w:rsidRPr="002A1E5F" w:rsidRDefault="00093406" w:rsidP="001E4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 projekt keretében integrált területre költözők száma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7C573" w14:textId="77777777" w:rsidR="00093406" w:rsidRPr="002A1E5F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fő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80EA81D" w14:textId="77777777" w:rsidR="00093406" w:rsidRPr="00EB0E8D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B0E8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5544A7D" w14:textId="77777777" w:rsidR="00093406" w:rsidRPr="00EB0E8D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B0E8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DBA4ABE" w14:textId="77777777" w:rsidR="00093406" w:rsidRPr="00EB0E8D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B0E8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230BE" w14:textId="77777777" w:rsidR="00093406" w:rsidRPr="00EB0E8D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B0E8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4BB11" w14:textId="77777777" w:rsidR="00093406" w:rsidRPr="00EB0E8D" w:rsidRDefault="00093406" w:rsidP="001E4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B0E8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093406" w:rsidRPr="00B241F5" w14:paraId="6A9B5A3F" w14:textId="77777777" w:rsidTr="001E4167">
        <w:trPr>
          <w:trHeight w:val="594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6B0EA" w14:textId="77777777" w:rsidR="00093406" w:rsidRPr="002A1E5F" w:rsidRDefault="00093406" w:rsidP="001E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TOP_Plusz-1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DDCA5" w14:textId="77777777" w:rsidR="00093406" w:rsidRPr="002A1E5F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RCO46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E968567" w14:textId="77777777" w:rsidR="00093406" w:rsidRPr="002A1E5F" w:rsidRDefault="00093406" w:rsidP="001E4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Átépített vagy korszerszerűsített közutak hossza – nem TEN-T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883A1" w14:textId="77777777" w:rsidR="00093406" w:rsidRPr="002A1E5F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32E8EB4" w14:textId="77777777" w:rsidR="00093406" w:rsidRPr="00EB0E8D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B0E8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C2579B6" w14:textId="77777777" w:rsidR="00093406" w:rsidRPr="00EB0E8D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hu-HU"/>
              </w:rPr>
            </w:pPr>
            <w:r w:rsidRPr="00EB0E8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17,36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4BB31BB" w14:textId="477498BE" w:rsidR="00093406" w:rsidRPr="00EB0E8D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B0E8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</w:t>
            </w:r>
            <w:r w:rsidR="00EB0E8D" w:rsidRPr="00EB0E8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</w:t>
            </w:r>
            <w:r w:rsidRPr="00EB0E8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</w:t>
            </w:r>
            <w:r w:rsidR="00EB0E8D" w:rsidRPr="00EB0E8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56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F9B04" w14:textId="61720A50" w:rsidR="00093406" w:rsidRPr="00EB0E8D" w:rsidRDefault="00EB0E8D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B0E8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8,39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AB841" w14:textId="5234B8CE" w:rsidR="00093406" w:rsidRPr="00B241F5" w:rsidRDefault="00EB0E8D" w:rsidP="001E4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  <w:r w:rsidRPr="00DE202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jelentős túlvállalásra tekintettel a rögzítések felülvizsgálata várható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</w:tr>
      <w:tr w:rsidR="00093406" w:rsidRPr="00B241F5" w14:paraId="5A6C7022" w14:textId="77777777" w:rsidTr="001E4167">
        <w:trPr>
          <w:trHeight w:val="63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20B69" w14:textId="77777777" w:rsidR="00093406" w:rsidRPr="002A1E5F" w:rsidRDefault="00093406" w:rsidP="001E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TOP_Plusz-2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CA3E5" w14:textId="77777777" w:rsidR="00093406" w:rsidRPr="002A1E5F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RCO19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1885F7D" w14:textId="77777777" w:rsidR="00093406" w:rsidRPr="002A1E5F" w:rsidRDefault="00093406" w:rsidP="001E4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Jobb energiahatékonyságú középületek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3E2F9" w14:textId="77777777" w:rsidR="00093406" w:rsidRPr="002A1E5F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</w:t>
            </w: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0E75CDF" w14:textId="77777777" w:rsidR="00093406" w:rsidRPr="00EB0E8D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B0E8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6E2CA54" w14:textId="77777777" w:rsidR="00093406" w:rsidRPr="00EB0E8D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B0E8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24 683,25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578C0E5" w14:textId="64A0900F" w:rsidR="00093406" w:rsidRPr="00EB0E8D" w:rsidRDefault="00EB0E8D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B0E8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29 657,00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CFCDD" w14:textId="77777777" w:rsidR="00093406" w:rsidRPr="00EB0E8D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B0E8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6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D84CD" w14:textId="29C7CC43" w:rsidR="00093406" w:rsidRPr="00EB0E8D" w:rsidRDefault="00EB0E8D" w:rsidP="001E4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B0E8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093406" w:rsidRPr="00B241F5" w14:paraId="12C847B4" w14:textId="77777777" w:rsidTr="001E4167">
        <w:trPr>
          <w:trHeight w:val="63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6A305" w14:textId="77777777" w:rsidR="00093406" w:rsidRPr="002A1E5F" w:rsidRDefault="00093406" w:rsidP="001E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TOP_Plusz-2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8A20D" w14:textId="77777777" w:rsidR="00093406" w:rsidRPr="002A1E5F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RCR29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6ED9F26" w14:textId="77777777" w:rsidR="00093406" w:rsidRPr="002A1E5F" w:rsidRDefault="00093406" w:rsidP="001E4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Becsült üvegházhatásúgáz-kibocsátások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F20C9" w14:textId="77777777" w:rsidR="00093406" w:rsidRPr="002A1E5F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CO</w:t>
            </w: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hu-HU"/>
              </w:rPr>
              <w:t>2</w:t>
            </w: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t/év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A99B0C3" w14:textId="77777777" w:rsidR="00093406" w:rsidRPr="00931723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317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51EF856" w14:textId="77777777" w:rsidR="00093406" w:rsidRPr="00931723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317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2 145,56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029F0BA" w14:textId="33E72B05" w:rsidR="00093406" w:rsidRPr="00931723" w:rsidRDefault="0093172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317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1 642,08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50895" w14:textId="77777777" w:rsidR="00093406" w:rsidRPr="00931723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317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6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6FD18" w14:textId="72C1C593" w:rsidR="00093406" w:rsidRPr="00931723" w:rsidRDefault="00931723" w:rsidP="001E4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317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093406" w:rsidRPr="00B241F5" w14:paraId="0B8E1655" w14:textId="77777777" w:rsidTr="001E4167">
        <w:trPr>
          <w:trHeight w:val="409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390E5" w14:textId="77777777" w:rsidR="00093406" w:rsidRPr="002A1E5F" w:rsidRDefault="00093406" w:rsidP="001E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TOP_Plusz-2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A661F" w14:textId="77777777" w:rsidR="00093406" w:rsidRPr="002A1E5F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RCR26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C7CB7A8" w14:textId="77777777" w:rsidR="00093406" w:rsidRPr="002A1E5F" w:rsidRDefault="00093406" w:rsidP="001E4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Éves primerenergia-fogyasztás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EA6BC" w14:textId="77777777" w:rsidR="00093406" w:rsidRPr="002A1E5F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MWh</w:t>
            </w:r>
            <w:proofErr w:type="spellEnd"/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/év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C6F5A20" w14:textId="77777777" w:rsidR="00093406" w:rsidRPr="001F5143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F514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6E18A0A" w14:textId="77777777" w:rsidR="00093406" w:rsidRPr="001F5143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F514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3 332,24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5798AC2" w14:textId="0A565690" w:rsidR="00093406" w:rsidRPr="001F5143" w:rsidRDefault="001F514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F514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3 994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D083F" w14:textId="56AD65A9" w:rsidR="00093406" w:rsidRPr="001F5143" w:rsidRDefault="001F514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F514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522,47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23593" w14:textId="14E21F1D" w:rsidR="00093406" w:rsidRPr="00B241F5" w:rsidRDefault="001F5143" w:rsidP="001E4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  <w:r w:rsidRPr="001F514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vélhetően mértékegységtévesztést és/vagy módszertani hibát tarta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</w:t>
            </w:r>
            <w:r w:rsidRPr="001F514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mazó rögzítések korrekciója utáni érték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</w:tr>
      <w:tr w:rsidR="00093406" w:rsidRPr="00B241F5" w14:paraId="58F488B2" w14:textId="77777777" w:rsidTr="001E4167">
        <w:trPr>
          <w:trHeight w:val="90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B6AC2" w14:textId="77777777" w:rsidR="00093406" w:rsidRPr="002A1E5F" w:rsidRDefault="00093406" w:rsidP="001E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lastRenderedPageBreak/>
              <w:t>TOP_Plusz-2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B70F1" w14:textId="77777777" w:rsidR="00093406" w:rsidRPr="002A1E5F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RCO22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F688693" w14:textId="77777777" w:rsidR="00093406" w:rsidRPr="002A1E5F" w:rsidRDefault="00093406" w:rsidP="001E4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Megújuló energiát előállító addicionális termelőkapacitás (ebből: villamos energia, hőenergia)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F71A5" w14:textId="77777777" w:rsidR="00093406" w:rsidRPr="002A1E5F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MW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DB7A247" w14:textId="77777777" w:rsidR="00093406" w:rsidRPr="001F5143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F514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8D967BF" w14:textId="77777777" w:rsidR="00093406" w:rsidRPr="001F5143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F514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1,03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76DB7DF" w14:textId="530008DA" w:rsidR="00093406" w:rsidRPr="001F5143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F514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0,</w:t>
            </w:r>
            <w:r w:rsidR="001F5143" w:rsidRPr="001F514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A34D" w14:textId="77777777" w:rsidR="00093406" w:rsidRPr="001F5143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F514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CB124" w14:textId="03427C23" w:rsidR="00093406" w:rsidRPr="00B241F5" w:rsidRDefault="001F5143" w:rsidP="001E4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  <w:r w:rsidRPr="001F514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vélhetően mértékegységtévesztést és/vagy módszertani hibát tart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  <w:r w:rsidRPr="001F514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lmazó rögzítések korrekciója utáni érték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</w:tr>
      <w:tr w:rsidR="00093406" w:rsidRPr="00B241F5" w14:paraId="692CFA35" w14:textId="77777777" w:rsidTr="001E4167">
        <w:trPr>
          <w:trHeight w:val="686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CED9B" w14:textId="77777777" w:rsidR="00093406" w:rsidRPr="002A1E5F" w:rsidRDefault="00093406" w:rsidP="001E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TOP_Plusz-2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41E17" w14:textId="77777777" w:rsidR="00093406" w:rsidRPr="002A1E5F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RCR31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9231678" w14:textId="77777777" w:rsidR="00093406" w:rsidRPr="002A1E5F" w:rsidRDefault="00093406" w:rsidP="001E4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Összes előállított megújuló energia (ebből: villamos energia, hőenergia)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1E9B1" w14:textId="77777777" w:rsidR="00093406" w:rsidRPr="002A1E5F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MWh</w:t>
            </w:r>
            <w:proofErr w:type="spellEnd"/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/év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A0ED496" w14:textId="77777777" w:rsidR="00093406" w:rsidRPr="001F5143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F514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5FE5B8E" w14:textId="215E77EC" w:rsidR="00093406" w:rsidRPr="001F5143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F514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1 126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A0B37FF" w14:textId="19B8C7A2" w:rsidR="00093406" w:rsidRPr="001F5143" w:rsidRDefault="001F514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F514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515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FEA35" w14:textId="07EC38F8" w:rsidR="00093406" w:rsidRPr="001F5143" w:rsidRDefault="001F514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F514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  <w:r w:rsidR="008808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D26A" w14:textId="2970CB43" w:rsidR="00093406" w:rsidRPr="00B241F5" w:rsidRDefault="008808EA" w:rsidP="001E4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8808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8943D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</w:t>
            </w:r>
            <w:r w:rsidRPr="008808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vélhetően mértékegységtévesztést és/vagy módszertani hibát tart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  <w:r w:rsidRPr="008808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lmazó rögzítések korrekciója utáni érték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</w:tr>
      <w:tr w:rsidR="00093406" w:rsidRPr="00B241F5" w14:paraId="1D8ABA45" w14:textId="77777777" w:rsidTr="001E4167">
        <w:trPr>
          <w:trHeight w:val="479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7AAF4" w14:textId="77777777" w:rsidR="00093406" w:rsidRPr="002A1E5F" w:rsidRDefault="00093406" w:rsidP="001E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TOP_Plusz-2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63B77" w14:textId="77777777" w:rsidR="00093406" w:rsidRPr="002A1E5F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TPO09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2142290" w14:textId="77777777" w:rsidR="00093406" w:rsidRPr="002A1E5F" w:rsidRDefault="00093406" w:rsidP="001E4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Fejlesztéssel érintett fürdők száma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EE274" w14:textId="77777777" w:rsidR="00093406" w:rsidRPr="002A1E5F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3C24472" w14:textId="77777777" w:rsidR="00093406" w:rsidRPr="008808EA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08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EC8AE1E" w14:textId="77777777" w:rsidR="00093406" w:rsidRPr="008808EA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80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3CC9388" w14:textId="77777777" w:rsidR="00093406" w:rsidRPr="008808EA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08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4B20E" w14:textId="77777777" w:rsidR="00093406" w:rsidRPr="008808EA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08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A145" w14:textId="77777777" w:rsidR="00093406" w:rsidRPr="008808EA" w:rsidRDefault="00093406" w:rsidP="001E4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08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093406" w:rsidRPr="00B241F5" w14:paraId="118F8EDB" w14:textId="77777777" w:rsidTr="001E4167">
        <w:trPr>
          <w:trHeight w:val="457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8B99D" w14:textId="77777777" w:rsidR="00093406" w:rsidRPr="002A1E5F" w:rsidRDefault="00093406" w:rsidP="001E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TOP_Plusz-3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59FFD" w14:textId="77777777" w:rsidR="00093406" w:rsidRPr="002A1E5F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TPO05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82792BE" w14:textId="77777777" w:rsidR="00093406" w:rsidRPr="002A1E5F" w:rsidRDefault="00093406" w:rsidP="001E4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Programban résztvevő munkanélküliek száma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530BB" w14:textId="77777777" w:rsidR="00093406" w:rsidRPr="002A1E5F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fő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09B4822" w14:textId="77777777" w:rsidR="00093406" w:rsidRPr="008808EA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08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02AFDCB" w14:textId="77777777" w:rsidR="00093406" w:rsidRPr="008808EA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80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2 788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C572C7D" w14:textId="77777777" w:rsidR="00093406" w:rsidRPr="008808EA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08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3 045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285C9" w14:textId="77777777" w:rsidR="00093406" w:rsidRPr="008808EA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08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349B6" w14:textId="77777777" w:rsidR="00093406" w:rsidRPr="008808EA" w:rsidRDefault="00093406" w:rsidP="001E4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08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093406" w:rsidRPr="00B241F5" w14:paraId="0BF4AE1B" w14:textId="77777777" w:rsidTr="001E4167">
        <w:trPr>
          <w:trHeight w:val="134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822D4" w14:textId="77777777" w:rsidR="00093406" w:rsidRPr="002A1E5F" w:rsidRDefault="00093406" w:rsidP="001E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TOP_Plusz-3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CEC7D" w14:textId="77777777" w:rsidR="00093406" w:rsidRPr="002A1E5F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TPO06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BD97093" w14:textId="77777777" w:rsidR="00093406" w:rsidRPr="002A1E5F" w:rsidRDefault="00093406" w:rsidP="001E4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Programban résztvevő inaktív személyek száma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05FF1" w14:textId="77777777" w:rsidR="00093406" w:rsidRPr="002A1E5F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fő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22D5E4C" w14:textId="77777777" w:rsidR="00093406" w:rsidRPr="00FB7152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B71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1873080" w14:textId="77777777" w:rsidR="00093406" w:rsidRPr="00FB7152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FB7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328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A5C5C64" w14:textId="77777777" w:rsidR="00093406" w:rsidRPr="00FB7152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B71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357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15A85" w14:textId="77777777" w:rsidR="00093406" w:rsidRPr="00FB7152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B71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6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A7343" w14:textId="77777777" w:rsidR="00093406" w:rsidRPr="00FB7152" w:rsidRDefault="00093406" w:rsidP="001E4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B71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093406" w:rsidRPr="00B241F5" w14:paraId="7FAFA9A5" w14:textId="77777777" w:rsidTr="001E4167">
        <w:trPr>
          <w:trHeight w:val="843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7F057" w14:textId="77777777" w:rsidR="00093406" w:rsidRPr="002A1E5F" w:rsidRDefault="00093406" w:rsidP="001E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TOP_Plusz-3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C0BBA" w14:textId="77777777" w:rsidR="00093406" w:rsidRPr="002A1E5F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TPO23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73ABB67" w14:textId="77777777" w:rsidR="00093406" w:rsidRPr="002A1E5F" w:rsidRDefault="00093406" w:rsidP="001E4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Munkaerőpiaci alkalmazkodást segítő támogatásban részesülők száma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460A5" w14:textId="77777777" w:rsidR="00093406" w:rsidRPr="002A1E5F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fő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B6C6818" w14:textId="77777777" w:rsidR="00093406" w:rsidRPr="00FB7152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B71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8E22580" w14:textId="77777777" w:rsidR="00093406" w:rsidRPr="00FB7152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FB7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6C595F7" w14:textId="77777777" w:rsidR="00093406" w:rsidRPr="00FB7152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B71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6DEF3" w14:textId="77777777" w:rsidR="00093406" w:rsidRPr="00FB7152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B71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3EF49" w14:textId="15AC6FFA" w:rsidR="00093406" w:rsidRPr="00FB7152" w:rsidRDefault="00FB7152" w:rsidP="001E4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B71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093406" w:rsidRPr="00B241F5" w14:paraId="6E47FA2C" w14:textId="77777777" w:rsidTr="001E4167">
        <w:trPr>
          <w:trHeight w:val="418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C0EE3" w14:textId="77777777" w:rsidR="00093406" w:rsidRPr="002A1E5F" w:rsidRDefault="00093406" w:rsidP="001E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TOP_Plusz-3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3DC54" w14:textId="77777777" w:rsidR="00093406" w:rsidRPr="002A1E5F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TPO24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7484F65" w14:textId="77777777" w:rsidR="00093406" w:rsidRPr="002A1E5F" w:rsidRDefault="00093406" w:rsidP="001E4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Foglalkoztatást elősegítő szolgáltatásokban és tevékenységekben résztvevők száma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A971B" w14:textId="77777777" w:rsidR="00093406" w:rsidRPr="002A1E5F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fő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323B03D" w14:textId="77777777" w:rsidR="00093406" w:rsidRPr="00FB7152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B71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B2CEE4C" w14:textId="77777777" w:rsidR="00093406" w:rsidRPr="00FB7152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B71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2 500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5BEC728" w14:textId="77777777" w:rsidR="00093406" w:rsidRPr="00FB7152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B71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2 510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B1270" w14:textId="77777777" w:rsidR="00093406" w:rsidRPr="00FB7152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B71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F226A" w14:textId="119BC184" w:rsidR="00093406" w:rsidRPr="00FB7152" w:rsidRDefault="00FB7152" w:rsidP="001E4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B71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093406" w:rsidRPr="00B241F5" w14:paraId="069201A1" w14:textId="77777777" w:rsidTr="001E4167">
        <w:trPr>
          <w:trHeight w:val="1127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556A1" w14:textId="77777777" w:rsidR="00093406" w:rsidRPr="002A1E5F" w:rsidRDefault="00093406" w:rsidP="001E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TOP_Plusz-3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94704" w14:textId="77777777" w:rsidR="00093406" w:rsidRPr="002A1E5F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TPR02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E5626D8" w14:textId="77777777" w:rsidR="00093406" w:rsidRPr="002A1E5F" w:rsidRDefault="00093406" w:rsidP="001E4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Program elhagyásának időpontjában foglalkoztatásban – beleértve az önfoglalkoztatást – álló résztvevők száma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CDD66" w14:textId="77777777" w:rsidR="00093406" w:rsidRPr="002A1E5F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fő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0665CFB" w14:textId="77777777" w:rsidR="00093406" w:rsidRPr="00FB7152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B71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209FB99" w14:textId="77777777" w:rsidR="00093406" w:rsidRPr="00FB7152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FB7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1 757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406046E" w14:textId="77777777" w:rsidR="00093406" w:rsidRPr="00FB7152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B71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1 919,00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4E6B9" w14:textId="77777777" w:rsidR="00093406" w:rsidRPr="00FB7152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B71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41D39" w14:textId="77777777" w:rsidR="00093406" w:rsidRPr="00FB7152" w:rsidRDefault="00093406" w:rsidP="001E4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B71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093406" w:rsidRPr="00B241F5" w14:paraId="3BDACAE8" w14:textId="77777777" w:rsidTr="001E4167">
        <w:trPr>
          <w:trHeight w:val="63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542E0" w14:textId="77777777" w:rsidR="00093406" w:rsidRPr="002A1E5F" w:rsidRDefault="00093406" w:rsidP="001E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TOP_Plusz-3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3467F" w14:textId="77777777" w:rsidR="00093406" w:rsidRPr="002A1E5F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TPO13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6E435AD" w14:textId="77777777" w:rsidR="00093406" w:rsidRPr="002A1E5F" w:rsidRDefault="00093406" w:rsidP="001E4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Hátrányos helyzetűeket célzó programok száma (3.1.2)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C08E3" w14:textId="77777777" w:rsidR="00093406" w:rsidRPr="002A1E5F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91DBA8A" w14:textId="77777777" w:rsidR="00093406" w:rsidRPr="00FB7152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B71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48A2450" w14:textId="1BD33905" w:rsidR="00093406" w:rsidRPr="00FB7152" w:rsidRDefault="00FB7152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B71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29FE548" w14:textId="77777777" w:rsidR="00093406" w:rsidRPr="00FB7152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B71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BDB4A" w14:textId="77777777" w:rsidR="00093406" w:rsidRPr="00FB7152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B71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6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88173" w14:textId="77777777" w:rsidR="00093406" w:rsidRPr="00FB7152" w:rsidRDefault="00093406" w:rsidP="001E4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B71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093406" w:rsidRPr="00B241F5" w14:paraId="153E8264" w14:textId="77777777" w:rsidTr="001E4167">
        <w:trPr>
          <w:trHeight w:val="626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6ED9D" w14:textId="77777777" w:rsidR="00093406" w:rsidRPr="002A1E5F" w:rsidRDefault="00093406" w:rsidP="001E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TOP_Plusz-3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676E1" w14:textId="77777777" w:rsidR="00093406" w:rsidRPr="002A1E5F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TPO25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B3B5D39" w14:textId="77777777" w:rsidR="00093406" w:rsidRPr="002A1E5F" w:rsidRDefault="00093406" w:rsidP="001E4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Fejlesztéssel érintett akcióterület száma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4121F" w14:textId="77777777" w:rsidR="00093406" w:rsidRPr="002A1E5F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2E814DE" w14:textId="77777777" w:rsidR="00093406" w:rsidRPr="00FB7152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B71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C7547D1" w14:textId="77777777" w:rsidR="00093406" w:rsidRPr="00FB7152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B71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A50D520" w14:textId="77777777" w:rsidR="00093406" w:rsidRPr="00FB7152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B71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CE8F1" w14:textId="77777777" w:rsidR="00093406" w:rsidRPr="00FB7152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B71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6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147DB" w14:textId="77777777" w:rsidR="00093406" w:rsidRPr="00FB7152" w:rsidRDefault="00093406" w:rsidP="001E4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B71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093406" w:rsidRPr="00B241F5" w14:paraId="5CB2908F" w14:textId="77777777" w:rsidTr="001E4167">
        <w:trPr>
          <w:trHeight w:val="55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CE409" w14:textId="77777777" w:rsidR="00093406" w:rsidRPr="002A1E5F" w:rsidRDefault="00093406" w:rsidP="001E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TOP_Plusz-3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4FF77" w14:textId="77777777" w:rsidR="00093406" w:rsidRPr="002A1E5F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TPR05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AA95C08" w14:textId="77777777" w:rsidR="00093406" w:rsidRPr="002A1E5F" w:rsidRDefault="00093406" w:rsidP="001E4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programokkal elért hátrányos helyzetű személyek száma (3.1.2)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C9D03" w14:textId="77777777" w:rsidR="00093406" w:rsidRPr="002A1E5F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fő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6604A8B" w14:textId="77777777" w:rsidR="00093406" w:rsidRPr="00FB7152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B71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71870CB" w14:textId="43AD0590" w:rsidR="00093406" w:rsidRPr="00FB7152" w:rsidRDefault="00FB7152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B71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FABDB5C" w14:textId="77777777" w:rsidR="00093406" w:rsidRPr="00FB7152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B71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B3A6E" w14:textId="77777777" w:rsidR="00093406" w:rsidRPr="00FB7152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B71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6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D57EB" w14:textId="77777777" w:rsidR="00093406" w:rsidRPr="00FB7152" w:rsidRDefault="00093406" w:rsidP="001E4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B71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093406" w:rsidRPr="00B241F5" w14:paraId="5382D36C" w14:textId="77777777" w:rsidTr="001E4167">
        <w:trPr>
          <w:trHeight w:val="402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0B503" w14:textId="77777777" w:rsidR="00093406" w:rsidRPr="002A1E5F" w:rsidRDefault="00093406" w:rsidP="001E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TOP_Plusz-3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CFF9F" w14:textId="77777777" w:rsidR="00093406" w:rsidRPr="002A1E5F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TPR15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3B72DD5" w14:textId="77777777" w:rsidR="00093406" w:rsidRPr="002A1E5F" w:rsidRDefault="00093406" w:rsidP="001E4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Program eredményként integrált területre költözők száma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631A0" w14:textId="77777777" w:rsidR="00093406" w:rsidRPr="002A1E5F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fő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C8A9AAB" w14:textId="77777777" w:rsidR="00093406" w:rsidRPr="00FB7152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B71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C5C8043" w14:textId="77777777" w:rsidR="00093406" w:rsidRPr="00FB7152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B71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3B18AFF" w14:textId="77777777" w:rsidR="00093406" w:rsidRPr="00FB7152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B71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E0777" w14:textId="77777777" w:rsidR="00093406" w:rsidRPr="00FB7152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B71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6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14E39" w14:textId="77777777" w:rsidR="00093406" w:rsidRPr="00FB7152" w:rsidRDefault="00093406" w:rsidP="001E4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B71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093406" w:rsidRPr="00B241F5" w14:paraId="7AC6F737" w14:textId="77777777" w:rsidTr="001E4167">
        <w:trPr>
          <w:trHeight w:val="411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5B3AB" w14:textId="77777777" w:rsidR="00093406" w:rsidRPr="002A1E5F" w:rsidRDefault="00093406" w:rsidP="001E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TOP_Plusz-3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A945E" w14:textId="77777777" w:rsidR="00093406" w:rsidRPr="002A1E5F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TPO13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01AAD8C" w14:textId="77777777" w:rsidR="00093406" w:rsidRPr="002A1E5F" w:rsidRDefault="00093406" w:rsidP="001E4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Hátrányos helyzetűeket célzó programok száma (3.1.3)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08DB4" w14:textId="77777777" w:rsidR="00093406" w:rsidRPr="002A1E5F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0C914EB" w14:textId="77777777" w:rsidR="00093406" w:rsidRPr="00FB7152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B71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D34761A" w14:textId="14B221DC" w:rsidR="00093406" w:rsidRPr="00FB7152" w:rsidRDefault="00FB7152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B71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0A3B1AB" w14:textId="77777777" w:rsidR="00093406" w:rsidRPr="00FB7152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B71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3A816" w14:textId="1195FBB6" w:rsidR="00093406" w:rsidRPr="00FB7152" w:rsidRDefault="00FB7152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B71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57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45253" w14:textId="77777777" w:rsidR="00093406" w:rsidRPr="00FB7152" w:rsidRDefault="00093406" w:rsidP="001E4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B71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093406" w:rsidRPr="00B241F5" w14:paraId="04C8F843" w14:textId="77777777" w:rsidTr="001E4167">
        <w:trPr>
          <w:trHeight w:val="63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6FA9B" w14:textId="77777777" w:rsidR="00093406" w:rsidRPr="002A1E5F" w:rsidRDefault="00093406" w:rsidP="001E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TOP_Plusz-3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8EF71" w14:textId="77777777" w:rsidR="00093406" w:rsidRPr="002A1E5F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TPO14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3968171" w14:textId="77777777" w:rsidR="00093406" w:rsidRPr="002A1E5F" w:rsidRDefault="00093406" w:rsidP="001E4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Egyéb, nem közösségi célú programok száma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09927" w14:textId="77777777" w:rsidR="00093406" w:rsidRPr="002A1E5F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C30437C" w14:textId="77777777" w:rsidR="00093406" w:rsidRPr="00FB7152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B71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299CF7B" w14:textId="77777777" w:rsidR="00093406" w:rsidRPr="00FB7152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FB7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1B95696" w14:textId="77777777" w:rsidR="00093406" w:rsidRPr="00FB7152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B71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751C" w14:textId="3B16DAEB" w:rsidR="00093406" w:rsidRPr="00FB7152" w:rsidRDefault="00FB7152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B71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88AFE" w14:textId="77777777" w:rsidR="00093406" w:rsidRPr="00FB7152" w:rsidRDefault="00093406" w:rsidP="001E4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B71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093406" w:rsidRPr="00B241F5" w14:paraId="4524AA2A" w14:textId="77777777" w:rsidTr="001E4167">
        <w:trPr>
          <w:trHeight w:val="484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8C87B" w14:textId="77777777" w:rsidR="00093406" w:rsidRPr="002A1E5F" w:rsidRDefault="00093406" w:rsidP="001E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TOP_Plusz-3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FDB9D" w14:textId="77777777" w:rsidR="00093406" w:rsidRPr="002A1E5F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TPR05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D791A6E" w14:textId="77777777" w:rsidR="00093406" w:rsidRPr="002A1E5F" w:rsidRDefault="00093406" w:rsidP="001E4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programokkal elért hátrányos helyzetű személyek száma (3.1.3)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7ECAA" w14:textId="77777777" w:rsidR="00093406" w:rsidRPr="002A1E5F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fő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73F1598" w14:textId="77777777" w:rsidR="00093406" w:rsidRPr="00C30FCA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30FC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A2C27E8" w14:textId="416521E2" w:rsidR="00093406" w:rsidRPr="00C30FCA" w:rsidRDefault="00C30FCA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30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B03D842" w14:textId="260A6ACE" w:rsidR="00093406" w:rsidRPr="00C30FCA" w:rsidRDefault="00C30FCA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64 100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C21D0" w14:textId="68606C8D" w:rsidR="00093406" w:rsidRPr="00C30FCA" w:rsidRDefault="00C30FCA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3 240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9E721" w14:textId="77777777" w:rsidR="00093406" w:rsidRPr="00C30FCA" w:rsidRDefault="00093406" w:rsidP="001E4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30FC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093406" w:rsidRPr="00B241F5" w14:paraId="464C81E8" w14:textId="77777777" w:rsidTr="001E4167">
        <w:trPr>
          <w:trHeight w:val="1329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0EA8C" w14:textId="77777777" w:rsidR="00093406" w:rsidRPr="002A1E5F" w:rsidRDefault="00093406" w:rsidP="001E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TOP_Plusz-3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2B5CD" w14:textId="77777777" w:rsidR="00093406" w:rsidRPr="002A1E5F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TPR10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2157B79" w14:textId="77777777" w:rsidR="00093406" w:rsidRPr="002A1E5F" w:rsidRDefault="00093406" w:rsidP="001E4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Azon települések száma, ahol javult a foglalkoztatáshoz, oktatáshoz, egészségügyhöz, szociális és/vagy lakhatási szolgáltatásokhoz való hozzáférés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EB07E" w14:textId="77777777" w:rsidR="00093406" w:rsidRPr="002A1E5F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3359BF4" w14:textId="77777777" w:rsidR="00093406" w:rsidRPr="006D762B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762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AACB2BC" w14:textId="77777777" w:rsidR="00093406" w:rsidRPr="006D762B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D7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E51C0FF" w14:textId="2E7649B1" w:rsidR="00093406" w:rsidRPr="006D762B" w:rsidRDefault="006D762B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762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5C34B" w14:textId="77777777" w:rsidR="00093406" w:rsidRPr="006D762B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762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1C0C2" w14:textId="77777777" w:rsidR="00093406" w:rsidRPr="006D762B" w:rsidRDefault="00093406" w:rsidP="001E4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762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093406" w:rsidRPr="00B241F5" w14:paraId="3BAD6806" w14:textId="77777777" w:rsidTr="001E4167">
        <w:trPr>
          <w:trHeight w:val="952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07A4D" w14:textId="77777777" w:rsidR="00093406" w:rsidRPr="002A1E5F" w:rsidRDefault="00093406" w:rsidP="001E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TOP_Plusz-3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0875A" w14:textId="77777777" w:rsidR="00093406" w:rsidRPr="002A1E5F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RCR70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4558E6B" w14:textId="77777777" w:rsidR="00093406" w:rsidRPr="002A1E5F" w:rsidRDefault="00093406" w:rsidP="001E4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Az új vagy korszerűsített gyermekgondozási létesítmények éves felhasználói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5775E" w14:textId="77777777" w:rsidR="00093406" w:rsidRPr="002A1E5F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fő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100F21D" w14:textId="77777777" w:rsidR="00093406" w:rsidRPr="006D762B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762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C553FBD" w14:textId="77777777" w:rsidR="00093406" w:rsidRPr="006D762B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D762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D7B2EF7" w14:textId="77777777" w:rsidR="00093406" w:rsidRPr="006D762B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762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1 242,00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5BCEE" w14:textId="7606B879" w:rsidR="00093406" w:rsidRPr="006D762B" w:rsidRDefault="006D762B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762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1 057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DD266" w14:textId="7DA0E7CF" w:rsidR="00093406" w:rsidRPr="006D762B" w:rsidRDefault="006D762B" w:rsidP="001E4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762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093406" w:rsidRPr="00B241F5" w14:paraId="64672941" w14:textId="77777777" w:rsidTr="001E4167">
        <w:trPr>
          <w:trHeight w:val="837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C8746" w14:textId="77777777" w:rsidR="00093406" w:rsidRPr="002A1E5F" w:rsidRDefault="00093406" w:rsidP="001E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TOP_Plusz-3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E3AC7" w14:textId="77777777" w:rsidR="00093406" w:rsidRPr="002A1E5F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TPO26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401E6E5" w14:textId="77777777" w:rsidR="00093406" w:rsidRPr="002A1E5F" w:rsidRDefault="00093406" w:rsidP="001E4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Fejlesztett, 0-3 éves gyermekek elhelyezését biztosító férőhelyek száma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3A9BE" w14:textId="77777777" w:rsidR="00093406" w:rsidRPr="002A1E5F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F93D3F6" w14:textId="77777777" w:rsidR="00093406" w:rsidRPr="006D762B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762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5375A9D" w14:textId="77777777" w:rsidR="00093406" w:rsidRPr="006D762B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762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79BEF22" w14:textId="77777777" w:rsidR="00093406" w:rsidRPr="006D762B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762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1CABD" w14:textId="77777777" w:rsidR="00093406" w:rsidRPr="006D762B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762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B70E7" w14:textId="77777777" w:rsidR="00093406" w:rsidRPr="006D762B" w:rsidRDefault="00093406" w:rsidP="001E4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762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093406" w:rsidRPr="00B241F5" w14:paraId="0035F640" w14:textId="77777777" w:rsidTr="001E4167">
        <w:trPr>
          <w:trHeight w:val="945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68C8F" w14:textId="77777777" w:rsidR="00093406" w:rsidRPr="002A1E5F" w:rsidRDefault="00093406" w:rsidP="001E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TOP_Plusz-3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B4401" w14:textId="77777777" w:rsidR="00093406" w:rsidRPr="002A1E5F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TPO27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21CD673" w14:textId="77777777" w:rsidR="00093406" w:rsidRPr="002A1E5F" w:rsidRDefault="00093406" w:rsidP="001E4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Újonnan létrehozott, 0-3 éves gyermekek elhelyezését biztosító férőhelyek száma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BA576" w14:textId="77777777" w:rsidR="00093406" w:rsidRPr="002A1E5F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1E775BE" w14:textId="77777777" w:rsidR="00093406" w:rsidRPr="005F1B67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1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79CA449" w14:textId="77777777" w:rsidR="00093406" w:rsidRPr="005F1B67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F1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F574915" w14:textId="77777777" w:rsidR="00093406" w:rsidRPr="005F1B67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1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B7CD4" w14:textId="3CF8D3C9" w:rsidR="00093406" w:rsidRPr="005F1B67" w:rsidRDefault="005F1B67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1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8E74" w14:textId="57603364" w:rsidR="00093406" w:rsidRPr="005F1B67" w:rsidRDefault="005F1B67" w:rsidP="001E4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1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093406" w:rsidRPr="00B241F5" w14:paraId="1E07DA5D" w14:textId="77777777" w:rsidTr="001E4167">
        <w:trPr>
          <w:trHeight w:val="843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49D56" w14:textId="77777777" w:rsidR="00093406" w:rsidRPr="002A1E5F" w:rsidRDefault="00093406" w:rsidP="001E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lastRenderedPageBreak/>
              <w:t>TOP_Plusz-3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4CCE7" w14:textId="77777777" w:rsidR="00093406" w:rsidRPr="002A1E5F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TPO28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3B587EB" w14:textId="77777777" w:rsidR="00093406" w:rsidRPr="002A1E5F" w:rsidRDefault="00093406" w:rsidP="001E4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Fejlesztett, 3-6 éves gyermekek elhelyezését biztosító férőhelyek száma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C1F95" w14:textId="77777777" w:rsidR="00093406" w:rsidRPr="002A1E5F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5C46F79" w14:textId="77777777" w:rsidR="00093406" w:rsidRPr="005F1B67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1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BF52E59" w14:textId="77777777" w:rsidR="00093406" w:rsidRPr="005F1B67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F1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1 080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80011C8" w14:textId="7B541BBE" w:rsidR="00093406" w:rsidRPr="005F1B67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1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  <w:r w:rsidR="005F1B67" w:rsidRPr="005F1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6EC78" w14:textId="77777777" w:rsidR="00093406" w:rsidRPr="005F1B67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1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A5DA8" w14:textId="30688999" w:rsidR="00093406" w:rsidRPr="005F1B67" w:rsidRDefault="005F1B67" w:rsidP="001E4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1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093406" w:rsidRPr="00B241F5" w14:paraId="5DA7C708" w14:textId="77777777" w:rsidTr="001E4167">
        <w:trPr>
          <w:trHeight w:val="945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0DD94" w14:textId="77777777" w:rsidR="00093406" w:rsidRPr="002A1E5F" w:rsidRDefault="00093406" w:rsidP="001E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TOP_Plusz-3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14EA7" w14:textId="77777777" w:rsidR="00093406" w:rsidRPr="002A1E5F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TPO29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D435F58" w14:textId="77777777" w:rsidR="00093406" w:rsidRPr="002A1E5F" w:rsidRDefault="00093406" w:rsidP="001E4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Újonnan létrehozott, 3-6 éves gyermekek elhelyezését biztosító férőhelyek száma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D846B" w14:textId="77777777" w:rsidR="00093406" w:rsidRPr="002A1E5F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7BDC15A" w14:textId="77777777" w:rsidR="00093406" w:rsidRPr="005F1B67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1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5AF9AA5" w14:textId="77777777" w:rsidR="00093406" w:rsidRPr="005F1B67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F1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CCC9CEE" w14:textId="25D7D40F" w:rsidR="00093406" w:rsidRPr="005F1B67" w:rsidRDefault="005F1B67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1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D535F" w14:textId="16C005A4" w:rsidR="00093406" w:rsidRPr="005F1B67" w:rsidRDefault="005F1B67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1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100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40F33" w14:textId="5F5E774D" w:rsidR="00093406" w:rsidRPr="005F1B67" w:rsidRDefault="005F1B67" w:rsidP="001E4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1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093406" w:rsidRPr="00B241F5" w14:paraId="7A97A1CB" w14:textId="77777777" w:rsidTr="001E4167">
        <w:trPr>
          <w:trHeight w:val="1195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B6965" w14:textId="77777777" w:rsidR="00093406" w:rsidRPr="002A1E5F" w:rsidRDefault="00093406" w:rsidP="001E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TOP_Plusz-3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6FDA3" w14:textId="77777777" w:rsidR="00093406" w:rsidRPr="002A1E5F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TPR11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F4D4E07" w14:textId="77777777" w:rsidR="00093406" w:rsidRPr="002A1E5F" w:rsidRDefault="00093406" w:rsidP="001E4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Újonnan létrehozott bölcsődei ellátással rendelkező települések száma (ahol 2020.12.31-én nem működött bölcsődei szolgáltatás)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72708" w14:textId="77777777" w:rsidR="00093406" w:rsidRPr="002A1E5F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4611222" w14:textId="77777777" w:rsidR="00093406" w:rsidRPr="005F1B67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1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B016CFB" w14:textId="77777777" w:rsidR="00093406" w:rsidRPr="005F1B67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1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0BEAFB9" w14:textId="77777777" w:rsidR="00093406" w:rsidRPr="005F1B67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1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8448C" w14:textId="7EE4E800" w:rsidR="00093406" w:rsidRPr="005F1B67" w:rsidRDefault="005F1B67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1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A5765" w14:textId="1499529C" w:rsidR="00093406" w:rsidRPr="005F1B67" w:rsidRDefault="005F1B67" w:rsidP="001E4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1B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093406" w:rsidRPr="00B241F5" w14:paraId="508A6176" w14:textId="77777777" w:rsidTr="001E4167">
        <w:trPr>
          <w:trHeight w:val="63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6DC5D" w14:textId="77777777" w:rsidR="00093406" w:rsidRPr="002A1E5F" w:rsidRDefault="00093406" w:rsidP="001E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TOP_Plusz-3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099C0" w14:textId="77777777" w:rsidR="00093406" w:rsidRPr="002A1E5F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TPR12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2773CE8" w14:textId="77777777" w:rsidR="00093406" w:rsidRPr="002A1E5F" w:rsidRDefault="00093406" w:rsidP="001E4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Fejlesztett óvodai ellátással rendelkező települések száma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8682D" w14:textId="77777777" w:rsidR="00093406" w:rsidRPr="002A1E5F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7713C4B" w14:textId="77777777" w:rsidR="00093406" w:rsidRPr="002267DB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267D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E23010E" w14:textId="77777777" w:rsidR="00093406" w:rsidRPr="002267DB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26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FEC6103" w14:textId="49C59668" w:rsidR="00093406" w:rsidRPr="002267DB" w:rsidRDefault="002267DB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267D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6B49" w14:textId="60587B03" w:rsidR="00093406" w:rsidRPr="002267DB" w:rsidRDefault="002267DB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267D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A9606" w14:textId="29C4DAE5" w:rsidR="00093406" w:rsidRPr="002267DB" w:rsidRDefault="002267DB" w:rsidP="001E4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267D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093406" w:rsidRPr="00B241F5" w14:paraId="553A98F1" w14:textId="77777777" w:rsidTr="001E4167">
        <w:trPr>
          <w:trHeight w:val="1775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9BA51" w14:textId="77777777" w:rsidR="00093406" w:rsidRPr="002A1E5F" w:rsidRDefault="00093406" w:rsidP="001E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TOP_Plusz-3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D9615" w14:textId="77777777" w:rsidR="00093406" w:rsidRPr="002A1E5F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TPO01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B73899B" w14:textId="77777777" w:rsidR="00093406" w:rsidRPr="002A1E5F" w:rsidRDefault="00093406" w:rsidP="001E4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Fejlesztéssel érintett egészségügyi alapellátást nyújtó szolgálatok (benne: háziorvos, házi gyermekorvos, fogorvosi, védőnői szolgálat és kapcsolódó ügyeleti ellátás, iskola-egészségügyi ellátás) száma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2E150" w14:textId="77777777" w:rsidR="00093406" w:rsidRPr="002A1E5F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43AAA62" w14:textId="77777777" w:rsidR="00093406" w:rsidRPr="00E646A9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646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9A72FDD" w14:textId="77777777" w:rsidR="00093406" w:rsidRPr="00E646A9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646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DE42F51" w14:textId="77777777" w:rsidR="00093406" w:rsidRPr="00E646A9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646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7FDFB" w14:textId="0C435E34" w:rsidR="00093406" w:rsidRPr="00E646A9" w:rsidRDefault="00E646A9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646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771EF" w14:textId="77777777" w:rsidR="00093406" w:rsidRPr="00E646A9" w:rsidRDefault="00093406" w:rsidP="001E4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646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093406" w:rsidRPr="00B241F5" w14:paraId="195C456B" w14:textId="77777777" w:rsidTr="001E4167">
        <w:trPr>
          <w:trHeight w:val="824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A3B74" w14:textId="77777777" w:rsidR="00093406" w:rsidRPr="002A1E5F" w:rsidRDefault="00093406" w:rsidP="001E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TOP_Plusz-3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7AC2D" w14:textId="77777777" w:rsidR="00093406" w:rsidRPr="002A1E5F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RCR73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0B52EC9" w14:textId="77777777" w:rsidR="00093406" w:rsidRPr="002A1E5F" w:rsidRDefault="00093406" w:rsidP="001E4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Az új vagy korszerűsített egészségügyi ellátó létesítmények éves felhasználói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0B932" w14:textId="77777777" w:rsidR="00093406" w:rsidRPr="002A1E5F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fő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F5DADD2" w14:textId="77777777" w:rsidR="00093406" w:rsidRPr="00E646A9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646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7E23876" w14:textId="77777777" w:rsidR="00093406" w:rsidRPr="00E646A9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646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70 000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C9D0BB7" w14:textId="59875303" w:rsidR="00093406" w:rsidRPr="00E646A9" w:rsidRDefault="00E646A9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646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70 583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74744" w14:textId="77777777" w:rsidR="00093406" w:rsidRPr="00E646A9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646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55 777</w:t>
            </w:r>
          </w:p>
        </w:tc>
        <w:tc>
          <w:tcPr>
            <w:tcW w:w="6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5E91A" w14:textId="77777777" w:rsidR="00093406" w:rsidRPr="00E646A9" w:rsidRDefault="00093406" w:rsidP="001E4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646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093406" w:rsidRPr="00B241F5" w14:paraId="1A71591F" w14:textId="77777777" w:rsidTr="001E4167">
        <w:trPr>
          <w:trHeight w:val="836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FCB7A" w14:textId="77777777" w:rsidR="00093406" w:rsidRPr="002A1E5F" w:rsidRDefault="00093406" w:rsidP="001E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TOP_Plusz-3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DC43D" w14:textId="77777777" w:rsidR="00093406" w:rsidRPr="002A1E5F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TPO02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8AE257C" w14:textId="77777777" w:rsidR="00093406" w:rsidRPr="002A1E5F" w:rsidRDefault="00093406" w:rsidP="001E4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A fejlesztés révén létrejövő, megújuló szociális alapszolgáltatások és </w:t>
            </w:r>
            <w:proofErr w:type="spellStart"/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gyermekjóléti</w:t>
            </w:r>
            <w:proofErr w:type="spellEnd"/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alapellátások száma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0F145" w14:textId="77777777" w:rsidR="00093406" w:rsidRPr="002A1E5F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F94BB22" w14:textId="77777777" w:rsidR="00093406" w:rsidRPr="004018BE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018B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7DBE3BC" w14:textId="77777777" w:rsidR="00093406" w:rsidRPr="004018BE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01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9BCA213" w14:textId="77777777" w:rsidR="00093406" w:rsidRPr="004018BE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018B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299A1" w14:textId="77777777" w:rsidR="00093406" w:rsidRPr="004018BE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018B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6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C9086" w14:textId="77777777" w:rsidR="00093406" w:rsidRPr="004018BE" w:rsidRDefault="00093406" w:rsidP="001E4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018B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093406" w:rsidRPr="00B241F5" w14:paraId="77989E68" w14:textId="77777777" w:rsidTr="001E4167">
        <w:trPr>
          <w:trHeight w:val="559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4B83B" w14:textId="77777777" w:rsidR="00093406" w:rsidRPr="002A1E5F" w:rsidRDefault="00093406" w:rsidP="001E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TOP_Plusz-3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C6B3A" w14:textId="77777777" w:rsidR="00093406" w:rsidRPr="002A1E5F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TPR13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63A67F7" w14:textId="77777777" w:rsidR="00093406" w:rsidRPr="002A1E5F" w:rsidRDefault="00093406" w:rsidP="001E4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Fejlesztett egészségügyi szolgáltatásokkal rendelkező települések száma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324AF" w14:textId="77777777" w:rsidR="00093406" w:rsidRPr="002A1E5F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892F8A9" w14:textId="77777777" w:rsidR="00093406" w:rsidRPr="004018BE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018B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95A2FE0" w14:textId="77777777" w:rsidR="00093406" w:rsidRPr="004018BE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01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3EBA554" w14:textId="1E7D09EC" w:rsidR="00093406" w:rsidRPr="004018BE" w:rsidRDefault="004018BE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018B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  <w:r w:rsidR="00093406" w:rsidRPr="004018B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25238" w14:textId="77777777" w:rsidR="00093406" w:rsidRPr="004018BE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018B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6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90BDA" w14:textId="77777777" w:rsidR="00093406" w:rsidRPr="004018BE" w:rsidRDefault="00093406" w:rsidP="001E4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018B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093406" w:rsidRPr="00B241F5" w14:paraId="26B111F7" w14:textId="77777777" w:rsidTr="001E4167">
        <w:trPr>
          <w:trHeight w:val="276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1F17F" w14:textId="77777777" w:rsidR="00093406" w:rsidRPr="002A1E5F" w:rsidRDefault="00093406" w:rsidP="001E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TOP_Plusz-3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A5667" w14:textId="77777777" w:rsidR="00093406" w:rsidRPr="002A1E5F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TPR14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9F168EA" w14:textId="77777777" w:rsidR="00093406" w:rsidRPr="002A1E5F" w:rsidRDefault="00093406" w:rsidP="001E4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Újonnan létrehozott vagy férőhelybővítéssel érintett szociális alapszolgáltatásokkal és </w:t>
            </w:r>
            <w:proofErr w:type="spellStart"/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gyermekjóléti</w:t>
            </w:r>
            <w:proofErr w:type="spellEnd"/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alapellátásokkal rendelkező települések száma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29507" w14:textId="77777777" w:rsidR="00093406" w:rsidRPr="002A1E5F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42BF3FA" w14:textId="77777777" w:rsidR="00093406" w:rsidRPr="00676CE6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76C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53B8DC6" w14:textId="77777777" w:rsidR="00093406" w:rsidRPr="00676CE6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76C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8BA9124" w14:textId="77777777" w:rsidR="00093406" w:rsidRPr="00676CE6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76C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ECC00" w14:textId="77777777" w:rsidR="00093406" w:rsidRPr="00676CE6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76C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6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4DF24" w14:textId="77777777" w:rsidR="00093406" w:rsidRPr="00676CE6" w:rsidRDefault="00093406" w:rsidP="001E4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76C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093406" w:rsidRPr="00B241F5" w14:paraId="68228E37" w14:textId="77777777" w:rsidTr="001E4167">
        <w:trPr>
          <w:trHeight w:val="865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AF8CF" w14:textId="77777777" w:rsidR="00093406" w:rsidRPr="002A1E5F" w:rsidRDefault="00093406" w:rsidP="001E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TOP_Plusz-3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8135D" w14:textId="77777777" w:rsidR="00093406" w:rsidRPr="002A1E5F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RCO67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D0B9B7F" w14:textId="77777777" w:rsidR="00093406" w:rsidRPr="002A1E5F" w:rsidRDefault="00093406" w:rsidP="001E4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Az új vagy korszerűsített oktatási létesítmények osztálytermi kapacitása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92045" w14:textId="77777777" w:rsidR="00093406" w:rsidRPr="002A1E5F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337B555" w14:textId="77777777" w:rsidR="00093406" w:rsidRPr="00676CE6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76C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B34558B" w14:textId="77777777" w:rsidR="00093406" w:rsidRPr="00676CE6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76C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1 010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1C2A344" w14:textId="1168D300" w:rsidR="00093406" w:rsidRPr="00676CE6" w:rsidRDefault="00676CE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76C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3 545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E4584" w14:textId="77777777" w:rsidR="00093406" w:rsidRPr="00676CE6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76C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D9C50" w14:textId="394982A7" w:rsidR="00093406" w:rsidRPr="00676CE6" w:rsidRDefault="00676CE6" w:rsidP="001E4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76C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093406" w:rsidRPr="00B241F5" w14:paraId="65E2E6CD" w14:textId="77777777" w:rsidTr="001E4167">
        <w:trPr>
          <w:trHeight w:val="478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6B611" w14:textId="77777777" w:rsidR="00093406" w:rsidRPr="002A1E5F" w:rsidRDefault="00093406" w:rsidP="001E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TOP_Plusz-3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354BC" w14:textId="77777777" w:rsidR="00093406" w:rsidRPr="002A1E5F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TPO30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F8690BA" w14:textId="77777777" w:rsidR="00093406" w:rsidRPr="002A1E5F" w:rsidRDefault="00093406" w:rsidP="001E4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Korszerűsített köznevelési intézmények száma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B2701" w14:textId="77777777" w:rsidR="00093406" w:rsidRPr="002A1E5F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1C43FE1" w14:textId="77777777" w:rsidR="00093406" w:rsidRPr="00676CE6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76C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0D397DF" w14:textId="77777777" w:rsidR="00093406" w:rsidRPr="00676CE6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76C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07606AD" w14:textId="77777777" w:rsidR="00093406" w:rsidRPr="00676CE6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76C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AEB51" w14:textId="77777777" w:rsidR="00093406" w:rsidRPr="00676CE6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76C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285C6" w14:textId="4E6E1FF7" w:rsidR="00093406" w:rsidRPr="00676CE6" w:rsidRDefault="00676CE6" w:rsidP="001E4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76C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093406" w:rsidRPr="00B241F5" w14:paraId="156EC7F4" w14:textId="77777777" w:rsidTr="001E4167">
        <w:trPr>
          <w:trHeight w:val="381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D3990" w14:textId="77777777" w:rsidR="00093406" w:rsidRPr="002A1E5F" w:rsidRDefault="00093406" w:rsidP="001E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TOP_Plusz-3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62328" w14:textId="77777777" w:rsidR="00093406" w:rsidRPr="002A1E5F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TPO31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D8F60D8" w14:textId="77777777" w:rsidR="00093406" w:rsidRPr="002A1E5F" w:rsidRDefault="00093406" w:rsidP="001E4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Korszerűsített kollégiumok száma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2F17F" w14:textId="77777777" w:rsidR="00093406" w:rsidRPr="002A1E5F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A77635D" w14:textId="77777777" w:rsidR="00093406" w:rsidRPr="00676CE6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76C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12BB289" w14:textId="77777777" w:rsidR="00093406" w:rsidRPr="00676CE6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76C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46D241C" w14:textId="77777777" w:rsidR="00093406" w:rsidRPr="00676CE6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76C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270E" w14:textId="77777777" w:rsidR="00093406" w:rsidRPr="00676CE6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76C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A189B" w14:textId="77777777" w:rsidR="00093406" w:rsidRPr="00676CE6" w:rsidRDefault="00093406" w:rsidP="001E4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76C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093406" w:rsidRPr="00B241F5" w14:paraId="2031A015" w14:textId="77777777" w:rsidTr="001E4167">
        <w:trPr>
          <w:trHeight w:val="423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9A6B8" w14:textId="77777777" w:rsidR="00093406" w:rsidRPr="002A1E5F" w:rsidRDefault="00093406" w:rsidP="001E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TOP_Plusz-3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DBAD5" w14:textId="77777777" w:rsidR="00093406" w:rsidRPr="002A1E5F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RCR71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3755CFD" w14:textId="77777777" w:rsidR="00093406" w:rsidRPr="002A1E5F" w:rsidRDefault="00093406" w:rsidP="001E4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Az új vagy korszerűsített oktatási létesítmények éves felhasználói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D270E" w14:textId="77777777" w:rsidR="00093406" w:rsidRPr="002A1E5F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450396D" w14:textId="77777777" w:rsidR="00093406" w:rsidRPr="00676CE6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76C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4B7CF4F" w14:textId="77777777" w:rsidR="00093406" w:rsidRPr="00676CE6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76C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727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A98D2D5" w14:textId="726B8509" w:rsidR="00093406" w:rsidRPr="00676CE6" w:rsidRDefault="00676CE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76C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2 400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F3A5" w14:textId="77777777" w:rsidR="00093406" w:rsidRPr="00676CE6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76C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BD89B" w14:textId="00421713" w:rsidR="00093406" w:rsidRPr="00676CE6" w:rsidRDefault="00676CE6" w:rsidP="001E4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76C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093406" w:rsidRPr="00B241F5" w14:paraId="58C42088" w14:textId="77777777" w:rsidTr="001E4167">
        <w:trPr>
          <w:trHeight w:val="63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6FD27" w14:textId="77777777" w:rsidR="00093406" w:rsidRPr="002A1E5F" w:rsidRDefault="00093406" w:rsidP="001E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TOP_Plusz-6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A8B80" w14:textId="77777777" w:rsidR="00093406" w:rsidRPr="002A1E5F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RCO04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386682B" w14:textId="77777777" w:rsidR="00093406" w:rsidRPr="002A1E5F" w:rsidRDefault="00093406" w:rsidP="001E4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Nem pénzügyi támogatásban részesített vállalkozások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71C13" w14:textId="77777777" w:rsidR="00093406" w:rsidRPr="002A1E5F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6DCF8AB" w14:textId="77777777" w:rsidR="00093406" w:rsidRPr="00676CE6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76C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63C83F3" w14:textId="77777777" w:rsidR="00093406" w:rsidRPr="00676CE6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76C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A9ED438" w14:textId="65BEAD8A" w:rsidR="00093406" w:rsidRPr="00676CE6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76C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</w:t>
            </w:r>
            <w:r w:rsidR="00676CE6" w:rsidRPr="00676C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  <w:r w:rsidRPr="00676C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06B77" w14:textId="77777777" w:rsidR="00093406" w:rsidRPr="00676CE6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76C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7AF7D" w14:textId="2FE080B0" w:rsidR="00093406" w:rsidRPr="00676CE6" w:rsidRDefault="00676CE6" w:rsidP="001E4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76C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093406" w:rsidRPr="00B241F5" w14:paraId="659395C0" w14:textId="77777777" w:rsidTr="001E4167">
        <w:trPr>
          <w:trHeight w:val="882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0DE3D" w14:textId="77777777" w:rsidR="00093406" w:rsidRPr="002A1E5F" w:rsidRDefault="00093406" w:rsidP="001E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TOP_Plusz-6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ACC63" w14:textId="77777777" w:rsidR="00093406" w:rsidRPr="002A1E5F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TPO07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A7FC01E" w14:textId="77777777" w:rsidR="00093406" w:rsidRPr="002A1E5F" w:rsidRDefault="00093406" w:rsidP="001E4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Támogatásban részesülő önkormányzati tulajdonú vállalkozások száma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A03B0" w14:textId="77777777" w:rsidR="00093406" w:rsidRPr="002A1E5F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F6C20AC" w14:textId="77777777" w:rsidR="00093406" w:rsidRPr="001345E6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45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22E46FF" w14:textId="77777777" w:rsidR="00093406" w:rsidRPr="001345E6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45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4666D64" w14:textId="77777777" w:rsidR="00093406" w:rsidRPr="001345E6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45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F7D7A" w14:textId="77777777" w:rsidR="00093406" w:rsidRPr="001345E6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45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6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D9D97" w14:textId="77777777" w:rsidR="00093406" w:rsidRPr="001345E6" w:rsidRDefault="00093406" w:rsidP="001E4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345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093406" w:rsidRPr="00B241F5" w14:paraId="632D0F53" w14:textId="77777777" w:rsidTr="001E4167">
        <w:trPr>
          <w:trHeight w:val="397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4D62B" w14:textId="77777777" w:rsidR="00093406" w:rsidRPr="002A1E5F" w:rsidRDefault="00093406" w:rsidP="001E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TOP_Plusz-6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90D49" w14:textId="77777777" w:rsidR="00093406" w:rsidRPr="002A1E5F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TPO32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F7F5EF2" w14:textId="77777777" w:rsidR="00093406" w:rsidRPr="002A1E5F" w:rsidRDefault="00093406" w:rsidP="001E4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Közétkeztetési fejlesztések száma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A30F3" w14:textId="77777777" w:rsidR="00093406" w:rsidRPr="002A1E5F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8E49540" w14:textId="77777777" w:rsidR="00093406" w:rsidRPr="008432BB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32B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43E69DB" w14:textId="77777777" w:rsidR="00093406" w:rsidRPr="008432BB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32B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96FB37A" w14:textId="77777777" w:rsidR="00093406" w:rsidRPr="008432BB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32B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51CA6" w14:textId="77777777" w:rsidR="00093406" w:rsidRPr="008432BB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32B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6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8D12A" w14:textId="4083086F" w:rsidR="00093406" w:rsidRPr="008432BB" w:rsidRDefault="008432BB" w:rsidP="001E4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32B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093406" w:rsidRPr="00B241F5" w14:paraId="531934BB" w14:textId="77777777" w:rsidTr="001E4167">
        <w:trPr>
          <w:trHeight w:val="945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1BF8A" w14:textId="77777777" w:rsidR="00093406" w:rsidRPr="002A1E5F" w:rsidRDefault="00093406" w:rsidP="001E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lastRenderedPageBreak/>
              <w:t>TOP_Plusz-6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DE98D" w14:textId="77777777" w:rsidR="00093406" w:rsidRPr="002A1E5F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RCO46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8C58697" w14:textId="77777777" w:rsidR="00093406" w:rsidRPr="002A1E5F" w:rsidRDefault="00093406" w:rsidP="001E4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Átépített vagy korszerűsített közutak hossza – nem TEN-T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90374" w14:textId="77777777" w:rsidR="00093406" w:rsidRPr="002A1E5F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696669C" w14:textId="77777777" w:rsidR="00093406" w:rsidRPr="008432BB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32B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2EB570D" w14:textId="77777777" w:rsidR="00093406" w:rsidRPr="008432BB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4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17,80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9774240" w14:textId="77777777" w:rsidR="00093406" w:rsidRPr="008432BB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32B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49,45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55165" w14:textId="77777777" w:rsidR="00093406" w:rsidRPr="008432BB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32B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6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04665" w14:textId="77777777" w:rsidR="00093406" w:rsidRPr="008432BB" w:rsidRDefault="00093406" w:rsidP="001E4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32B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093406" w:rsidRPr="00B241F5" w14:paraId="757845FD" w14:textId="77777777" w:rsidTr="001E4167">
        <w:trPr>
          <w:trHeight w:val="565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8D1F0" w14:textId="77777777" w:rsidR="00093406" w:rsidRPr="002A1E5F" w:rsidRDefault="00093406" w:rsidP="001E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TOP_Plusz-6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A9C29" w14:textId="77777777" w:rsidR="00093406" w:rsidRPr="002A1E5F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RCO77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EF59EAC" w14:textId="77777777" w:rsidR="00093406" w:rsidRPr="002A1E5F" w:rsidRDefault="00093406" w:rsidP="001E4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Támogatott kulturális és turisztikai helyszínek száma (6.1.3)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4F4CA" w14:textId="77777777" w:rsidR="00093406" w:rsidRPr="002A1E5F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7BFCE16" w14:textId="77777777" w:rsidR="00093406" w:rsidRPr="008432BB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32B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45200A0" w14:textId="2F34455D" w:rsidR="00093406" w:rsidRPr="008432BB" w:rsidRDefault="008432BB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32B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8EEE3C7" w14:textId="0F778063" w:rsidR="00093406" w:rsidRPr="008432BB" w:rsidRDefault="008432BB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32B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50144" w14:textId="77777777" w:rsidR="00093406" w:rsidRPr="008432BB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32B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6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E5B7C" w14:textId="77777777" w:rsidR="00093406" w:rsidRPr="008432BB" w:rsidRDefault="00093406" w:rsidP="001E4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32B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093406" w:rsidRPr="00B241F5" w14:paraId="32B4075D" w14:textId="77777777" w:rsidTr="001E4167">
        <w:trPr>
          <w:trHeight w:val="391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1DF9E" w14:textId="77777777" w:rsidR="00093406" w:rsidRPr="002A1E5F" w:rsidRDefault="00093406" w:rsidP="001E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TOP_Plusz-6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C68AC" w14:textId="77777777" w:rsidR="00093406" w:rsidRPr="002A1E5F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TPO09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D9851C6" w14:textId="77777777" w:rsidR="00093406" w:rsidRPr="002A1E5F" w:rsidRDefault="00093406" w:rsidP="001E4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Fejlesztéssel érintett fürdők száma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5D0C1" w14:textId="77777777" w:rsidR="00093406" w:rsidRPr="002A1E5F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3A63BF4" w14:textId="77777777" w:rsidR="00093406" w:rsidRPr="008432BB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32B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B56D031" w14:textId="77777777" w:rsidR="00093406" w:rsidRPr="008432BB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32B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C7DA564" w14:textId="77777777" w:rsidR="00093406" w:rsidRPr="008432BB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32B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ED302" w14:textId="77777777" w:rsidR="00093406" w:rsidRPr="008432BB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32B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1B9DB" w14:textId="77777777" w:rsidR="00093406" w:rsidRPr="008432BB" w:rsidRDefault="00093406" w:rsidP="001E4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-</w:t>
            </w:r>
          </w:p>
        </w:tc>
      </w:tr>
      <w:tr w:rsidR="00093406" w:rsidRPr="00B241F5" w14:paraId="3F6A33B2" w14:textId="77777777" w:rsidTr="001E4167">
        <w:trPr>
          <w:trHeight w:val="843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B378D" w14:textId="77777777" w:rsidR="00093406" w:rsidRPr="002A1E5F" w:rsidRDefault="00093406" w:rsidP="001E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TOP_Plusz-6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F01F9" w14:textId="77777777" w:rsidR="00093406" w:rsidRPr="002A1E5F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TPO34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85BA0EC" w14:textId="77777777" w:rsidR="00093406" w:rsidRPr="002A1E5F" w:rsidRDefault="00093406" w:rsidP="001E4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Turisztikai fejlesztéssel érintett nemzeti parkok, </w:t>
            </w:r>
            <w:proofErr w:type="spellStart"/>
            <w:r w:rsidRPr="002A1E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geoparkok</w:t>
            </w:r>
            <w:proofErr w:type="spellEnd"/>
            <w:r w:rsidRPr="002A1E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natúrparkok száma (6.1.3)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9540E" w14:textId="77777777" w:rsidR="00093406" w:rsidRPr="002A1E5F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85A5A26" w14:textId="77777777" w:rsidR="00093406" w:rsidRPr="00DD788C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D788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D41656E" w14:textId="77777777" w:rsidR="00093406" w:rsidRPr="00DD788C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D788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0DD0FF2" w14:textId="77777777" w:rsidR="00093406" w:rsidRPr="00DD788C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D788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96871" w14:textId="77777777" w:rsidR="00093406" w:rsidRPr="00DD788C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D788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8935D" w14:textId="77777777" w:rsidR="00093406" w:rsidRPr="00DD788C" w:rsidRDefault="00093406" w:rsidP="001E4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D7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-</w:t>
            </w:r>
          </w:p>
        </w:tc>
      </w:tr>
      <w:tr w:rsidR="00093406" w:rsidRPr="00B241F5" w14:paraId="31925DB7" w14:textId="77777777" w:rsidTr="001E4167">
        <w:trPr>
          <w:trHeight w:val="63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E167E" w14:textId="77777777" w:rsidR="00093406" w:rsidRPr="002A1E5F" w:rsidRDefault="00093406" w:rsidP="001E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TOP_Plusz-6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1D005" w14:textId="77777777" w:rsidR="00093406" w:rsidRPr="002A1E5F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RCO77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456070A" w14:textId="77777777" w:rsidR="00093406" w:rsidRPr="002A1E5F" w:rsidRDefault="00093406" w:rsidP="001E4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Támogatott kulturális és turisztikai helyszínek száma (6.1.4)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8DF74" w14:textId="77777777" w:rsidR="00093406" w:rsidRPr="002A1E5F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381304B" w14:textId="77777777" w:rsidR="00093406" w:rsidRPr="00DD788C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D788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E268E35" w14:textId="7E69B1F1" w:rsidR="00093406" w:rsidRPr="00DD788C" w:rsidRDefault="00DD788C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D788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82A3C61" w14:textId="1FD84A57" w:rsidR="00093406" w:rsidRPr="00DD788C" w:rsidRDefault="00DD788C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D788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  <w:r w:rsidR="00093406" w:rsidRPr="00DD788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B26C3" w14:textId="2AD9CCB5" w:rsidR="00093406" w:rsidRPr="00DD788C" w:rsidRDefault="00DD788C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D788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AD24C" w14:textId="09483BE8" w:rsidR="00093406" w:rsidRPr="00DD788C" w:rsidRDefault="00DD788C" w:rsidP="001E4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D788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093406" w:rsidRPr="00B241F5" w14:paraId="1EE41954" w14:textId="77777777" w:rsidTr="001E4167">
        <w:trPr>
          <w:trHeight w:val="923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2007C" w14:textId="77777777" w:rsidR="00093406" w:rsidRPr="002A1E5F" w:rsidRDefault="00093406" w:rsidP="001E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TOP_Plusz-6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96811" w14:textId="77777777" w:rsidR="00093406" w:rsidRPr="002A1E5F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TPO34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29A37E8" w14:textId="77777777" w:rsidR="00093406" w:rsidRPr="002A1E5F" w:rsidRDefault="00093406" w:rsidP="001E4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Turisztikai fejlesztéssel érintett nemzeti parkok, </w:t>
            </w:r>
            <w:proofErr w:type="spellStart"/>
            <w:r w:rsidRPr="002A1E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geoparkok</w:t>
            </w:r>
            <w:proofErr w:type="spellEnd"/>
            <w:r w:rsidRPr="002A1E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natúrparkok száma (6.1.4)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F900F" w14:textId="77777777" w:rsidR="00093406" w:rsidRPr="002A1E5F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A1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A263B96" w14:textId="77777777" w:rsidR="00093406" w:rsidRPr="00DD788C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D788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7C89C71" w14:textId="2AB90DBF" w:rsidR="00093406" w:rsidRPr="00DD788C" w:rsidRDefault="00DD788C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D788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62688AB" w14:textId="7928548B" w:rsidR="00093406" w:rsidRPr="00DD788C" w:rsidRDefault="00DD788C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D788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  <w:r w:rsidR="00093406" w:rsidRPr="00DD788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FE5C" w14:textId="77777777" w:rsidR="00093406" w:rsidRPr="00DD788C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D788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BDB2C" w14:textId="0DAD5748" w:rsidR="00093406" w:rsidRPr="00DD788C" w:rsidRDefault="00093406" w:rsidP="001E4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D788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r w:rsidR="00DD788C" w:rsidRPr="00DD788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</w:tbl>
    <w:p w14:paraId="2FAC6609" w14:textId="77777777" w:rsidR="00093406" w:rsidRPr="00B241F5" w:rsidRDefault="00093406" w:rsidP="00093406">
      <w:pPr>
        <w:pStyle w:val="Default"/>
        <w:jc w:val="both"/>
        <w:rPr>
          <w:rFonts w:ascii="Times New Roman" w:hAnsi="Times New Roman" w:cs="Times New Roman"/>
          <w:color w:val="auto"/>
          <w:highlight w:val="yellow"/>
        </w:rPr>
        <w:sectPr w:rsidR="00093406" w:rsidRPr="00B241F5" w:rsidSect="003B5863">
          <w:pgSz w:w="23811" w:h="16838" w:orient="landscape" w:code="8"/>
          <w:pgMar w:top="851" w:right="851" w:bottom="992" w:left="567" w:header="709" w:footer="709" w:gutter="0"/>
          <w:cols w:space="708"/>
          <w:titlePg/>
          <w:docGrid w:linePitch="360"/>
        </w:sectPr>
      </w:pPr>
    </w:p>
    <w:p w14:paraId="03D33BCB" w14:textId="0979997F" w:rsidR="00093406" w:rsidRPr="008943D9" w:rsidRDefault="00093406" w:rsidP="000934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8943D9">
        <w:rPr>
          <w:rFonts w:ascii="Times New Roman" w:hAnsi="Times New Roman" w:cs="Times New Roman"/>
          <w:sz w:val="24"/>
          <w:szCs w:val="24"/>
          <w:lang w:eastAsia="hu-HU"/>
        </w:rPr>
        <w:lastRenderedPageBreak/>
        <w:t xml:space="preserve">Egyes, a vármegye által vállalt célértékek (2029) oszlopban szereplő vállalások nem érik el a Hatályos TSZ állomány szerinti vállalási értéket. </w:t>
      </w:r>
      <w:r w:rsidR="008943D9" w:rsidRPr="008943D9">
        <w:rPr>
          <w:rFonts w:ascii="Times New Roman" w:hAnsi="Times New Roman" w:cs="Times New Roman"/>
          <w:sz w:val="24"/>
          <w:szCs w:val="24"/>
          <w:lang w:eastAsia="hu-HU"/>
        </w:rPr>
        <w:t>Továbbá az Irányító Hatóság azokban az esetekben, ahol magasnak ítélte meg a vállalási értéket, felülvizsgálatot fog végezni.</w:t>
      </w:r>
    </w:p>
    <w:p w14:paraId="59A98A06" w14:textId="77777777" w:rsidR="00093406" w:rsidRPr="002A1E5F" w:rsidRDefault="00093406" w:rsidP="00093406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5820F99F" w14:textId="3690BD4A" w:rsidR="00093406" w:rsidRPr="002A1E5F" w:rsidRDefault="00093406" w:rsidP="00093406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E5F">
        <w:rPr>
          <w:rFonts w:ascii="Times New Roman" w:hAnsi="Times New Roman" w:cs="Times New Roman"/>
          <w:b/>
          <w:sz w:val="24"/>
          <w:szCs w:val="24"/>
        </w:rPr>
        <w:t xml:space="preserve">2025. </w:t>
      </w:r>
      <w:r w:rsidR="002A1E5F" w:rsidRPr="002A1E5F">
        <w:rPr>
          <w:rFonts w:ascii="Times New Roman" w:hAnsi="Times New Roman" w:cs="Times New Roman"/>
          <w:b/>
          <w:sz w:val="24"/>
          <w:szCs w:val="24"/>
        </w:rPr>
        <w:t>I</w:t>
      </w:r>
      <w:r w:rsidRPr="002A1E5F"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2A1E5F" w:rsidRPr="002A1E5F">
        <w:rPr>
          <w:rFonts w:ascii="Times New Roman" w:hAnsi="Times New Roman" w:cs="Times New Roman"/>
          <w:b/>
          <w:sz w:val="24"/>
          <w:szCs w:val="24"/>
        </w:rPr>
        <w:t>és III.</w:t>
      </w:r>
      <w:r w:rsidRPr="002A1E5F">
        <w:rPr>
          <w:rFonts w:ascii="Times New Roman" w:hAnsi="Times New Roman" w:cs="Times New Roman"/>
          <w:b/>
          <w:sz w:val="24"/>
          <w:szCs w:val="24"/>
        </w:rPr>
        <w:t xml:space="preserve"> negyedévében megjelent felhívások</w:t>
      </w:r>
    </w:p>
    <w:p w14:paraId="041522C1" w14:textId="77777777" w:rsidR="00093406" w:rsidRPr="00B241F5" w:rsidRDefault="00093406" w:rsidP="00093406">
      <w:pPr>
        <w:pStyle w:val="Listaszerbekezds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6B3EBBC9" w14:textId="1F821A3B" w:rsidR="00C52A0E" w:rsidRDefault="00093406" w:rsidP="00093406">
      <w:pPr>
        <w:tabs>
          <w:tab w:val="left" w:pos="63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A0E">
        <w:rPr>
          <w:rFonts w:ascii="Times New Roman" w:hAnsi="Times New Roman" w:cs="Times New Roman"/>
          <w:sz w:val="24"/>
          <w:szCs w:val="24"/>
        </w:rPr>
        <w:t xml:space="preserve">2025. </w:t>
      </w:r>
      <w:r w:rsidR="00C52A0E" w:rsidRPr="00C52A0E">
        <w:rPr>
          <w:rFonts w:ascii="Times New Roman" w:hAnsi="Times New Roman" w:cs="Times New Roman"/>
          <w:sz w:val="24"/>
          <w:szCs w:val="24"/>
        </w:rPr>
        <w:t>I</w:t>
      </w:r>
      <w:r w:rsidRPr="00C52A0E">
        <w:rPr>
          <w:rFonts w:ascii="Times New Roman" w:hAnsi="Times New Roman" w:cs="Times New Roman"/>
          <w:sz w:val="24"/>
          <w:szCs w:val="24"/>
        </w:rPr>
        <w:t xml:space="preserve">I. </w:t>
      </w:r>
      <w:r w:rsidR="00C52A0E" w:rsidRPr="00C52A0E">
        <w:rPr>
          <w:rFonts w:ascii="Times New Roman" w:hAnsi="Times New Roman" w:cs="Times New Roman"/>
          <w:sz w:val="24"/>
          <w:szCs w:val="24"/>
        </w:rPr>
        <w:t xml:space="preserve">és III. </w:t>
      </w:r>
      <w:r w:rsidRPr="00C52A0E">
        <w:rPr>
          <w:rFonts w:ascii="Times New Roman" w:hAnsi="Times New Roman" w:cs="Times New Roman"/>
          <w:sz w:val="24"/>
          <w:szCs w:val="24"/>
        </w:rPr>
        <w:t xml:space="preserve">negyedévében </w:t>
      </w:r>
      <w:r w:rsidR="00C52A0E" w:rsidRPr="00C52A0E">
        <w:rPr>
          <w:rFonts w:ascii="Times New Roman" w:hAnsi="Times New Roman" w:cs="Times New Roman"/>
          <w:sz w:val="24"/>
          <w:szCs w:val="24"/>
        </w:rPr>
        <w:t>az alábbi</w:t>
      </w:r>
      <w:r w:rsidRPr="00C52A0E">
        <w:rPr>
          <w:rFonts w:ascii="Times New Roman" w:hAnsi="Times New Roman" w:cs="Times New Roman"/>
          <w:sz w:val="24"/>
          <w:szCs w:val="24"/>
        </w:rPr>
        <w:t xml:space="preserve"> TOP _Plusz felhívás</w:t>
      </w:r>
      <w:r w:rsidR="008D7B65">
        <w:rPr>
          <w:rFonts w:ascii="Times New Roman" w:hAnsi="Times New Roman" w:cs="Times New Roman"/>
          <w:sz w:val="24"/>
          <w:szCs w:val="24"/>
        </w:rPr>
        <w:t>ok</w:t>
      </w:r>
      <w:r w:rsidRPr="00C52A0E">
        <w:rPr>
          <w:rFonts w:ascii="Times New Roman" w:hAnsi="Times New Roman" w:cs="Times New Roman"/>
          <w:sz w:val="24"/>
          <w:szCs w:val="24"/>
        </w:rPr>
        <w:t xml:space="preserve"> jelent</w:t>
      </w:r>
      <w:r w:rsidR="008D7B65">
        <w:rPr>
          <w:rFonts w:ascii="Times New Roman" w:hAnsi="Times New Roman" w:cs="Times New Roman"/>
          <w:sz w:val="24"/>
          <w:szCs w:val="24"/>
        </w:rPr>
        <w:t>ek</w:t>
      </w:r>
      <w:r w:rsidRPr="00C52A0E">
        <w:rPr>
          <w:rFonts w:ascii="Times New Roman" w:hAnsi="Times New Roman" w:cs="Times New Roman"/>
          <w:sz w:val="24"/>
          <w:szCs w:val="24"/>
        </w:rPr>
        <w:t xml:space="preserve"> meg</w:t>
      </w:r>
      <w:r w:rsidR="00C52A0E" w:rsidRPr="00C52A0E">
        <w:rPr>
          <w:rFonts w:ascii="Times New Roman" w:hAnsi="Times New Roman" w:cs="Times New Roman"/>
          <w:sz w:val="24"/>
          <w:szCs w:val="24"/>
        </w:rPr>
        <w:t>:</w:t>
      </w:r>
    </w:p>
    <w:p w14:paraId="499314FA" w14:textId="77777777" w:rsidR="00666395" w:rsidRDefault="00666395" w:rsidP="00093406">
      <w:pPr>
        <w:tabs>
          <w:tab w:val="left" w:pos="63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1DA0B3D" w14:textId="7CDD2346" w:rsidR="00666395" w:rsidRPr="00666395" w:rsidRDefault="00C52A0E" w:rsidP="00666395">
      <w:pPr>
        <w:tabs>
          <w:tab w:val="left" w:pos="63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395">
        <w:rPr>
          <w:rFonts w:ascii="Times New Roman" w:hAnsi="Times New Roman" w:cs="Times New Roman"/>
          <w:sz w:val="24"/>
          <w:szCs w:val="24"/>
        </w:rPr>
        <w:t>1. TOP_Plusz-</w:t>
      </w:r>
      <w:r w:rsidR="00666395" w:rsidRPr="00666395">
        <w:rPr>
          <w:rFonts w:ascii="Times New Roman" w:hAnsi="Times New Roman" w:cs="Times New Roman"/>
          <w:sz w:val="24"/>
          <w:szCs w:val="24"/>
        </w:rPr>
        <w:t>1.2.1-21 „Élhető települések”</w:t>
      </w:r>
      <w:r w:rsidR="0071164F">
        <w:rPr>
          <w:rFonts w:ascii="Times New Roman" w:hAnsi="Times New Roman" w:cs="Times New Roman"/>
          <w:sz w:val="24"/>
          <w:szCs w:val="24"/>
        </w:rPr>
        <w:t xml:space="preserve"> c. felhívás </w:t>
      </w:r>
      <w:r w:rsidR="00666395" w:rsidRPr="00666395">
        <w:rPr>
          <w:rFonts w:ascii="Times New Roman" w:hAnsi="Times New Roman" w:cs="Times New Roman"/>
          <w:sz w:val="24"/>
          <w:szCs w:val="24"/>
        </w:rPr>
        <w:t>esetén megnyitásra került a 3. sz. benyújtási szakasz: 2025. 09.01</w:t>
      </w:r>
      <w:r w:rsidR="00666395">
        <w:rPr>
          <w:rFonts w:ascii="Times New Roman" w:hAnsi="Times New Roman" w:cs="Times New Roman"/>
          <w:sz w:val="24"/>
          <w:szCs w:val="24"/>
        </w:rPr>
        <w:t>. naptól</w:t>
      </w:r>
      <w:r w:rsidR="00666395" w:rsidRPr="00666395">
        <w:rPr>
          <w:rFonts w:ascii="Times New Roman" w:hAnsi="Times New Roman" w:cs="Times New Roman"/>
          <w:sz w:val="24"/>
          <w:szCs w:val="24"/>
        </w:rPr>
        <w:t xml:space="preserve"> 2025.10.01. </w:t>
      </w:r>
      <w:r w:rsidR="00666395">
        <w:rPr>
          <w:rFonts w:ascii="Times New Roman" w:hAnsi="Times New Roman" w:cs="Times New Roman"/>
          <w:sz w:val="24"/>
          <w:szCs w:val="24"/>
        </w:rPr>
        <w:t>napig.</w:t>
      </w:r>
    </w:p>
    <w:p w14:paraId="74EDD8A8" w14:textId="22353A9B" w:rsidR="00666395" w:rsidRPr="00666395" w:rsidRDefault="00666395" w:rsidP="00666395">
      <w:pPr>
        <w:tabs>
          <w:tab w:val="left" w:pos="63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395">
        <w:rPr>
          <w:rFonts w:ascii="Times New Roman" w:hAnsi="Times New Roman" w:cs="Times New Roman"/>
          <w:sz w:val="24"/>
          <w:szCs w:val="24"/>
        </w:rPr>
        <w:t>A 3. benyújtási szakaszban kizárólag az alábbi célterületek (forrásfelhasználási módok) esetében volt lehetőség támogatási kérelmek benyújtására</w:t>
      </w:r>
      <w:r w:rsidR="0071164F">
        <w:rPr>
          <w:rFonts w:ascii="Times New Roman" w:hAnsi="Times New Roman" w:cs="Times New Roman"/>
          <w:sz w:val="24"/>
          <w:szCs w:val="24"/>
        </w:rPr>
        <w:t>:</w:t>
      </w:r>
    </w:p>
    <w:p w14:paraId="639D9965" w14:textId="77777777" w:rsidR="00666395" w:rsidRPr="00666395" w:rsidRDefault="00666395" w:rsidP="00666395">
      <w:pPr>
        <w:pStyle w:val="Listaszerbekezds"/>
        <w:numPr>
          <w:ilvl w:val="0"/>
          <w:numId w:val="15"/>
        </w:numPr>
        <w:tabs>
          <w:tab w:val="left" w:pos="63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395">
        <w:rPr>
          <w:rFonts w:ascii="Times New Roman" w:hAnsi="Times New Roman" w:cs="Times New Roman"/>
          <w:sz w:val="24"/>
          <w:szCs w:val="24"/>
        </w:rPr>
        <w:t xml:space="preserve">Erősödő északnyugati kapu térsége </w:t>
      </w:r>
    </w:p>
    <w:p w14:paraId="301294FA" w14:textId="77777777" w:rsidR="00666395" w:rsidRPr="00666395" w:rsidRDefault="00666395" w:rsidP="00666395">
      <w:pPr>
        <w:pStyle w:val="Listaszerbekezds"/>
        <w:numPr>
          <w:ilvl w:val="0"/>
          <w:numId w:val="15"/>
        </w:numPr>
        <w:tabs>
          <w:tab w:val="left" w:pos="63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395">
        <w:rPr>
          <w:rFonts w:ascii="Times New Roman" w:hAnsi="Times New Roman" w:cs="Times New Roman"/>
          <w:sz w:val="24"/>
          <w:szCs w:val="24"/>
        </w:rPr>
        <w:t xml:space="preserve">Keleti agglomerációs térség </w:t>
      </w:r>
    </w:p>
    <w:p w14:paraId="53EA1A21" w14:textId="77777777" w:rsidR="00666395" w:rsidRPr="00666395" w:rsidRDefault="00666395" w:rsidP="00666395">
      <w:pPr>
        <w:pStyle w:val="Listaszerbekezds"/>
        <w:numPr>
          <w:ilvl w:val="0"/>
          <w:numId w:val="15"/>
        </w:numPr>
        <w:tabs>
          <w:tab w:val="left" w:pos="63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395">
        <w:rPr>
          <w:rFonts w:ascii="Times New Roman" w:hAnsi="Times New Roman" w:cs="Times New Roman"/>
          <w:sz w:val="24"/>
          <w:szCs w:val="24"/>
        </w:rPr>
        <w:t xml:space="preserve">Bihari térség </w:t>
      </w:r>
    </w:p>
    <w:p w14:paraId="56F93FA0" w14:textId="609FF463" w:rsidR="00666395" w:rsidRPr="00666395" w:rsidRDefault="00666395" w:rsidP="00666395">
      <w:pPr>
        <w:pStyle w:val="Listaszerbekezds"/>
        <w:numPr>
          <w:ilvl w:val="0"/>
          <w:numId w:val="15"/>
        </w:numPr>
        <w:tabs>
          <w:tab w:val="left" w:pos="63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395">
        <w:rPr>
          <w:rFonts w:ascii="Times New Roman" w:hAnsi="Times New Roman" w:cs="Times New Roman"/>
          <w:sz w:val="24"/>
          <w:szCs w:val="24"/>
        </w:rPr>
        <w:t xml:space="preserve">Sárréti térség </w:t>
      </w:r>
      <w:r w:rsidR="0071164F">
        <w:rPr>
          <w:rFonts w:ascii="Times New Roman" w:hAnsi="Times New Roman" w:cs="Times New Roman"/>
          <w:sz w:val="24"/>
          <w:szCs w:val="24"/>
        </w:rPr>
        <w:t>fejlesztési célterület.</w:t>
      </w:r>
    </w:p>
    <w:p w14:paraId="3703E7CE" w14:textId="77777777" w:rsidR="00666395" w:rsidRDefault="00666395" w:rsidP="00093406">
      <w:pPr>
        <w:tabs>
          <w:tab w:val="left" w:pos="63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A6EED84" w14:textId="77777777" w:rsidR="0071164F" w:rsidRPr="0071164F" w:rsidRDefault="00C52A0E" w:rsidP="0071164F">
      <w:pPr>
        <w:tabs>
          <w:tab w:val="left" w:pos="63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64F">
        <w:rPr>
          <w:rFonts w:ascii="Times New Roman" w:hAnsi="Times New Roman" w:cs="Times New Roman"/>
          <w:sz w:val="24"/>
          <w:szCs w:val="24"/>
        </w:rPr>
        <w:t>2. TOP_Plusz-</w:t>
      </w:r>
      <w:r w:rsidR="0071164F" w:rsidRPr="0071164F">
        <w:rPr>
          <w:rFonts w:ascii="Times New Roman" w:hAnsi="Times New Roman" w:cs="Times New Roman"/>
          <w:sz w:val="24"/>
          <w:szCs w:val="24"/>
        </w:rPr>
        <w:t xml:space="preserve">1.2.3-21 „Belterületi utak fejlesztése” c. felhívás esetén a 2. sz. benyújtási szakasz 2025.08.18. naptól 2025.09.18. napig volt nyitva. </w:t>
      </w:r>
    </w:p>
    <w:p w14:paraId="4660DB8C" w14:textId="77777777" w:rsidR="0071164F" w:rsidRPr="0071164F" w:rsidRDefault="0071164F" w:rsidP="0071164F">
      <w:pPr>
        <w:tabs>
          <w:tab w:val="left" w:pos="63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64F">
        <w:rPr>
          <w:rFonts w:ascii="Times New Roman" w:hAnsi="Times New Roman" w:cs="Times New Roman"/>
          <w:sz w:val="24"/>
          <w:szCs w:val="24"/>
        </w:rPr>
        <w:t xml:space="preserve">A 2. benyújtási szakaszban </w:t>
      </w:r>
      <w:r w:rsidRPr="00666395">
        <w:rPr>
          <w:rFonts w:ascii="Times New Roman" w:hAnsi="Times New Roman" w:cs="Times New Roman"/>
          <w:sz w:val="24"/>
          <w:szCs w:val="24"/>
        </w:rPr>
        <w:t>kizárólag az alábbi célterületek (forrásfelhasználási módok) esetében v</w:t>
      </w:r>
      <w:r w:rsidRPr="0071164F">
        <w:rPr>
          <w:rFonts w:ascii="Times New Roman" w:hAnsi="Times New Roman" w:cs="Times New Roman"/>
          <w:sz w:val="24"/>
          <w:szCs w:val="24"/>
        </w:rPr>
        <w:t>olt</w:t>
      </w:r>
      <w:r w:rsidRPr="00666395">
        <w:rPr>
          <w:rFonts w:ascii="Times New Roman" w:hAnsi="Times New Roman" w:cs="Times New Roman"/>
          <w:sz w:val="24"/>
          <w:szCs w:val="24"/>
        </w:rPr>
        <w:t xml:space="preserve"> lehetőség támogatási kérelmek benyújtására</w:t>
      </w:r>
      <w:r w:rsidRPr="0071164F">
        <w:rPr>
          <w:rFonts w:ascii="Times New Roman" w:hAnsi="Times New Roman" w:cs="Times New Roman"/>
          <w:sz w:val="24"/>
          <w:szCs w:val="24"/>
        </w:rPr>
        <w:t>:</w:t>
      </w:r>
    </w:p>
    <w:p w14:paraId="25C12EE6" w14:textId="3E405526" w:rsidR="0071164F" w:rsidRPr="0071164F" w:rsidRDefault="0071164F" w:rsidP="0071164F">
      <w:pPr>
        <w:pStyle w:val="Listaszerbekezds"/>
        <w:numPr>
          <w:ilvl w:val="0"/>
          <w:numId w:val="16"/>
        </w:numPr>
        <w:tabs>
          <w:tab w:val="left" w:pos="63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64F">
        <w:rPr>
          <w:rFonts w:ascii="Times New Roman" w:hAnsi="Times New Roman" w:cs="Times New Roman"/>
          <w:sz w:val="24"/>
          <w:szCs w:val="24"/>
        </w:rPr>
        <w:t xml:space="preserve">Déli agglomerációs térség, </w:t>
      </w:r>
    </w:p>
    <w:p w14:paraId="133E0A2C" w14:textId="713634B5" w:rsidR="0071164F" w:rsidRPr="0071164F" w:rsidRDefault="0071164F" w:rsidP="0071164F">
      <w:pPr>
        <w:pStyle w:val="Listaszerbekezds"/>
        <w:numPr>
          <w:ilvl w:val="0"/>
          <w:numId w:val="16"/>
        </w:numPr>
        <w:tabs>
          <w:tab w:val="left" w:pos="63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64F">
        <w:rPr>
          <w:rFonts w:ascii="Times New Roman" w:hAnsi="Times New Roman" w:cs="Times New Roman"/>
          <w:sz w:val="24"/>
          <w:szCs w:val="24"/>
        </w:rPr>
        <w:t xml:space="preserve">Erősödő északnyugati kapu térség, </w:t>
      </w:r>
    </w:p>
    <w:p w14:paraId="307F7554" w14:textId="03019C5B" w:rsidR="0071164F" w:rsidRPr="0071164F" w:rsidRDefault="0071164F" w:rsidP="0071164F">
      <w:pPr>
        <w:pStyle w:val="Listaszerbekezds"/>
        <w:numPr>
          <w:ilvl w:val="0"/>
          <w:numId w:val="16"/>
        </w:numPr>
        <w:tabs>
          <w:tab w:val="left" w:pos="63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64F">
        <w:rPr>
          <w:rFonts w:ascii="Times New Roman" w:hAnsi="Times New Roman" w:cs="Times New Roman"/>
          <w:sz w:val="24"/>
          <w:szCs w:val="24"/>
        </w:rPr>
        <w:t xml:space="preserve">Helyi természeti és kulturális potenciálra, valamint agrárinnovációra alapozott fejlesztések térsége, </w:t>
      </w:r>
    </w:p>
    <w:p w14:paraId="6CA019D5" w14:textId="544A37A8" w:rsidR="0071164F" w:rsidRPr="0071164F" w:rsidRDefault="0071164F" w:rsidP="0071164F">
      <w:pPr>
        <w:pStyle w:val="Listaszerbekezds"/>
        <w:numPr>
          <w:ilvl w:val="0"/>
          <w:numId w:val="16"/>
        </w:numPr>
        <w:tabs>
          <w:tab w:val="left" w:pos="63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64F">
        <w:rPr>
          <w:rFonts w:ascii="Times New Roman" w:hAnsi="Times New Roman" w:cs="Times New Roman"/>
          <w:sz w:val="24"/>
          <w:szCs w:val="24"/>
        </w:rPr>
        <w:t>Keleti agglomerációs térség c. fejlesztési célterület.</w:t>
      </w:r>
    </w:p>
    <w:p w14:paraId="31C312D1" w14:textId="550BEE4C" w:rsidR="00C52A0E" w:rsidRDefault="00C52A0E" w:rsidP="00093406">
      <w:pPr>
        <w:tabs>
          <w:tab w:val="left" w:pos="63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89C332C" w14:textId="14F0F446" w:rsidR="0071164F" w:rsidRPr="0071164F" w:rsidRDefault="00C52A0E" w:rsidP="0071164F">
      <w:pPr>
        <w:tabs>
          <w:tab w:val="left" w:pos="63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64F">
        <w:rPr>
          <w:rFonts w:ascii="Times New Roman" w:hAnsi="Times New Roman" w:cs="Times New Roman"/>
          <w:sz w:val="24"/>
          <w:szCs w:val="24"/>
        </w:rPr>
        <w:t>3. TOP_Plusz-3.3.2</w:t>
      </w:r>
      <w:r w:rsidR="0071164F" w:rsidRPr="0071164F">
        <w:rPr>
          <w:rFonts w:ascii="Times New Roman" w:hAnsi="Times New Roman" w:cs="Times New Roman"/>
          <w:sz w:val="24"/>
          <w:szCs w:val="24"/>
        </w:rPr>
        <w:t xml:space="preserve">-21 „Helyi egészségügyi és szociális infrastruktúra fejlesztése” c. felhívás esetén a 2. sz. benyújtási szakasz 2025.08.18. naptól 2025.09.18. napig tartott. A 2. benyújtási szakaszban támogatási kérelem benyújtására kizárólag a </w:t>
      </w:r>
      <w:r w:rsidR="0071164F" w:rsidRPr="0071164F">
        <w:rPr>
          <w:rFonts w:ascii="Times New Roman" w:hAnsi="Times New Roman" w:cs="Times New Roman"/>
          <w:b/>
          <w:bCs/>
          <w:sz w:val="24"/>
          <w:szCs w:val="24"/>
        </w:rPr>
        <w:t xml:space="preserve">b) Déli agglomerációs térség és az f) Bihari térség </w:t>
      </w:r>
      <w:r w:rsidR="0071164F" w:rsidRPr="0071164F">
        <w:rPr>
          <w:rFonts w:ascii="Times New Roman" w:hAnsi="Times New Roman" w:cs="Times New Roman"/>
          <w:sz w:val="24"/>
          <w:szCs w:val="24"/>
        </w:rPr>
        <w:t xml:space="preserve">c. fejlesztési célterületek számára volt lehetőség. </w:t>
      </w:r>
    </w:p>
    <w:p w14:paraId="4A98EC41" w14:textId="2B640484" w:rsidR="00C52A0E" w:rsidRPr="00B241F5" w:rsidRDefault="00C52A0E" w:rsidP="00093406">
      <w:pPr>
        <w:tabs>
          <w:tab w:val="left" w:pos="63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403332A" w14:textId="77777777" w:rsidR="00093406" w:rsidRPr="00C52A0E" w:rsidRDefault="00093406" w:rsidP="00093406">
      <w:pPr>
        <w:tabs>
          <w:tab w:val="left" w:pos="63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CE9B63" w14:textId="77777777" w:rsidR="00093406" w:rsidRPr="00C52A0E" w:rsidRDefault="00093406" w:rsidP="00093406">
      <w:pPr>
        <w:tabs>
          <w:tab w:val="left" w:pos="63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A0E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C52A0E">
        <w:rPr>
          <w:rFonts w:ascii="Times New Roman" w:hAnsi="Times New Roman" w:cs="Times New Roman"/>
          <w:sz w:val="24"/>
          <w:szCs w:val="24"/>
        </w:rPr>
        <w:t>TOP_Plusz</w:t>
      </w:r>
      <w:proofErr w:type="spellEnd"/>
      <w:r w:rsidRPr="00C52A0E">
        <w:rPr>
          <w:rFonts w:ascii="Times New Roman" w:hAnsi="Times New Roman" w:cs="Times New Roman"/>
          <w:sz w:val="24"/>
          <w:szCs w:val="24"/>
        </w:rPr>
        <w:t xml:space="preserve"> keretében benyújtott támogatási szerződéssel rendelkező pályázatok darabszámát, az igényelt támogatási összeg mértékét, a hatályos Támogatási Szerződések darabszámát, a hatályos </w:t>
      </w:r>
      <w:proofErr w:type="gramStart"/>
      <w:r w:rsidRPr="00C52A0E">
        <w:rPr>
          <w:rFonts w:ascii="Times New Roman" w:hAnsi="Times New Roman" w:cs="Times New Roman"/>
          <w:sz w:val="24"/>
          <w:szCs w:val="24"/>
        </w:rPr>
        <w:t>TSZ-el</w:t>
      </w:r>
      <w:proofErr w:type="gramEnd"/>
      <w:r w:rsidRPr="00C52A0E">
        <w:rPr>
          <w:rFonts w:ascii="Times New Roman" w:hAnsi="Times New Roman" w:cs="Times New Roman"/>
          <w:sz w:val="24"/>
          <w:szCs w:val="24"/>
        </w:rPr>
        <w:t xml:space="preserve"> rendelkező támogatási kérelmek számát, a kötelezettségvállalás összegét, az eddigi kifizetések összegét és a fenntartásba helyezett projektek számát az alábbi összefoglaló táblázat szemlélteti:</w:t>
      </w:r>
    </w:p>
    <w:p w14:paraId="662C0997" w14:textId="77777777" w:rsidR="00093406" w:rsidRPr="00B241F5" w:rsidRDefault="00093406" w:rsidP="00093406">
      <w:pPr>
        <w:tabs>
          <w:tab w:val="left" w:pos="63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278E3E3" w14:textId="77777777" w:rsidR="00093406" w:rsidRPr="00B241F5" w:rsidRDefault="00093406" w:rsidP="000934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hu-HU"/>
        </w:rPr>
        <w:sectPr w:rsidR="00093406" w:rsidRPr="00B241F5" w:rsidSect="00093406">
          <w:footerReference w:type="default" r:id="rId9"/>
          <w:pgSz w:w="11906" w:h="16838"/>
          <w:pgMar w:top="851" w:right="991" w:bottom="567" w:left="851" w:header="709" w:footer="709" w:gutter="0"/>
          <w:cols w:space="708"/>
          <w:titlePg/>
          <w:docGrid w:linePitch="360"/>
        </w:sectPr>
      </w:pPr>
    </w:p>
    <w:tbl>
      <w:tblPr>
        <w:tblW w:w="199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9"/>
        <w:gridCol w:w="1923"/>
        <w:gridCol w:w="1276"/>
        <w:gridCol w:w="2268"/>
        <w:gridCol w:w="1843"/>
        <w:gridCol w:w="2268"/>
        <w:gridCol w:w="2824"/>
        <w:gridCol w:w="5377"/>
      </w:tblGrid>
      <w:tr w:rsidR="00093406" w:rsidRPr="00B241F5" w14:paraId="4A51A62E" w14:textId="77777777" w:rsidTr="00EA6A43">
        <w:trPr>
          <w:trHeight w:val="825"/>
          <w:jc w:val="center"/>
        </w:trPr>
        <w:tc>
          <w:tcPr>
            <w:tcW w:w="2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2CB42DF" w14:textId="77777777" w:rsidR="00093406" w:rsidRPr="007D573C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D57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lastRenderedPageBreak/>
              <w:t>TOP Plusz felhívás száma</w:t>
            </w:r>
          </w:p>
        </w:tc>
        <w:tc>
          <w:tcPr>
            <w:tcW w:w="19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AD142D3" w14:textId="77777777" w:rsidR="00093406" w:rsidRPr="007D573C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D57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Felhívás címe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8FD5C04" w14:textId="77777777" w:rsidR="00093406" w:rsidRPr="007D573C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D57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Beérkezett pályázatok száma (db)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ABFC43D" w14:textId="77777777" w:rsidR="00093406" w:rsidRPr="007D573C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D57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Igényelt támogatás összege (Ft)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9D8609B" w14:textId="77777777" w:rsidR="00093406" w:rsidRPr="007D573C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D57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Hatályos TSZ száma (db)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CFEEB4E" w14:textId="77777777" w:rsidR="00093406" w:rsidRPr="007D573C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  <w:p w14:paraId="0A95F6BE" w14:textId="77777777" w:rsidR="00093406" w:rsidRPr="007D573C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D57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Hatályos Támogatási Szerződések összege (Ft)</w:t>
            </w:r>
          </w:p>
        </w:tc>
        <w:tc>
          <w:tcPr>
            <w:tcW w:w="28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6277D9D" w14:textId="77777777" w:rsidR="00093406" w:rsidRPr="007D573C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D57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Kifizetések összege (Ft)</w:t>
            </w:r>
          </w:p>
        </w:tc>
        <w:tc>
          <w:tcPr>
            <w:tcW w:w="53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40AB86B" w14:textId="77777777" w:rsidR="00093406" w:rsidRPr="007D573C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D57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Fenntartásba helyezett projektek száma (db)</w:t>
            </w:r>
          </w:p>
        </w:tc>
      </w:tr>
      <w:tr w:rsidR="00093406" w:rsidRPr="00B241F5" w14:paraId="23E1743A" w14:textId="77777777" w:rsidTr="00EA6A43">
        <w:trPr>
          <w:trHeight w:val="300"/>
          <w:jc w:val="center"/>
        </w:trPr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10D3A" w14:textId="77777777" w:rsidR="00093406" w:rsidRPr="007D573C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D573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1.1.1-21</w:t>
            </w:r>
          </w:p>
          <w:p w14:paraId="5B452DBB" w14:textId="77777777" w:rsidR="00093406" w:rsidRPr="007D573C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D573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(jelenlegi ITP-ben 6.1.1)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8399A" w14:textId="77777777" w:rsidR="00093406" w:rsidRPr="007D573C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D573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Helyi gazdaságfejlesztése</w:t>
            </w:r>
          </w:p>
          <w:p w14:paraId="58C6742E" w14:textId="4D69DDDF" w:rsidR="00093406" w:rsidRPr="007D573C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3DB22" w14:textId="77777777" w:rsidR="00093406" w:rsidRPr="00B241F5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hu-HU"/>
              </w:rPr>
            </w:pPr>
            <w:r w:rsidRPr="007D573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A79B3" w14:textId="77777777" w:rsidR="00093406" w:rsidRPr="00B241F5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hu-HU"/>
              </w:rPr>
            </w:pPr>
            <w:r w:rsidRPr="00CE457F">
              <w:rPr>
                <w:rFonts w:ascii="Times New Roman" w:hAnsi="Times New Roman" w:cs="Times New Roman"/>
                <w:sz w:val="20"/>
                <w:szCs w:val="20"/>
              </w:rPr>
              <w:t>6 112 676 040 Ft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B9367" w14:textId="2A287052" w:rsidR="00093406" w:rsidRPr="00B241F5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hu-HU"/>
              </w:rPr>
            </w:pPr>
            <w:r w:rsidRPr="007D57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D573C" w:rsidRPr="007D573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2CC49" w14:textId="7E53406C" w:rsidR="00093406" w:rsidRPr="00B241F5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hu-HU"/>
              </w:rPr>
            </w:pPr>
            <w:r w:rsidRPr="004C69A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</w:t>
            </w:r>
            <w:r w:rsidR="004C69A8" w:rsidRPr="004C69A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150 944 346 Ft</w:t>
            </w: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3B548" w14:textId="5E97C8B4" w:rsidR="00093406" w:rsidRPr="007D573C" w:rsidRDefault="007D573C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D573C">
              <w:rPr>
                <w:rFonts w:ascii="Times New Roman" w:hAnsi="Times New Roman" w:cs="Times New Roman"/>
                <w:sz w:val="20"/>
                <w:szCs w:val="20"/>
              </w:rPr>
              <w:t xml:space="preserve">196 895 015 </w:t>
            </w:r>
            <w:r w:rsidR="00093406" w:rsidRPr="007D573C">
              <w:rPr>
                <w:rFonts w:ascii="Times New Roman" w:hAnsi="Times New Roman" w:cs="Times New Roman"/>
                <w:sz w:val="20"/>
                <w:szCs w:val="20"/>
              </w:rPr>
              <w:t>Ft</w:t>
            </w:r>
            <w:r w:rsidRPr="007D57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E5DCD" w14:textId="77777777" w:rsidR="00093406" w:rsidRPr="007D573C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D573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93406" w:rsidRPr="00B241F5" w14:paraId="65FFCC7B" w14:textId="77777777" w:rsidTr="00EA6A43">
        <w:trPr>
          <w:trHeight w:val="300"/>
          <w:jc w:val="center"/>
        </w:trPr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4A2C6" w14:textId="77777777" w:rsidR="00093406" w:rsidRPr="007D573C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D573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1.1.3-21</w:t>
            </w:r>
          </w:p>
          <w:p w14:paraId="4D554744" w14:textId="77777777" w:rsidR="00093406" w:rsidRPr="007D573C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D573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(jelenlegi ITP-ben 6.1.3)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BE487" w14:textId="77777777" w:rsidR="00093406" w:rsidRPr="007D573C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D573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Helyi és térségi turizmusfejlesztés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AED4E" w14:textId="77777777" w:rsidR="00093406" w:rsidRPr="00CE457F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457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E9026" w14:textId="77777777" w:rsidR="00093406" w:rsidRPr="00CE457F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457F">
              <w:rPr>
                <w:rFonts w:ascii="Times New Roman" w:hAnsi="Times New Roman" w:cs="Times New Roman"/>
                <w:sz w:val="20"/>
                <w:szCs w:val="20"/>
              </w:rPr>
              <w:t xml:space="preserve">3 773 228 946 Ft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CA7DD" w14:textId="77777777" w:rsidR="00093406" w:rsidRPr="00CE457F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45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0D3FA" w14:textId="77777777" w:rsidR="00093406" w:rsidRPr="00CE457F" w:rsidRDefault="00093406" w:rsidP="001E4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57F">
              <w:rPr>
                <w:rFonts w:ascii="Times New Roman" w:hAnsi="Times New Roman" w:cs="Times New Roman"/>
                <w:sz w:val="20"/>
                <w:szCs w:val="20"/>
              </w:rPr>
              <w:t>2 119 088 947 Ft</w:t>
            </w: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10B98" w14:textId="297EEB1B" w:rsidR="00093406" w:rsidRPr="00CE457F" w:rsidRDefault="00CE457F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457F">
              <w:rPr>
                <w:rFonts w:ascii="Times New Roman" w:hAnsi="Times New Roman" w:cs="Times New Roman"/>
                <w:sz w:val="20"/>
                <w:szCs w:val="20"/>
              </w:rPr>
              <w:t>167 802 226</w:t>
            </w:r>
            <w:r w:rsidR="00093406" w:rsidRPr="00CE457F">
              <w:rPr>
                <w:rFonts w:ascii="Times New Roman" w:hAnsi="Times New Roman" w:cs="Times New Roman"/>
                <w:sz w:val="20"/>
                <w:szCs w:val="20"/>
              </w:rPr>
              <w:t xml:space="preserve"> Ft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67DAB" w14:textId="77777777" w:rsidR="00093406" w:rsidRPr="00CE457F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45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93406" w:rsidRPr="00B241F5" w14:paraId="2E3DBFBE" w14:textId="77777777" w:rsidTr="00EA6A43">
        <w:trPr>
          <w:trHeight w:val="300"/>
          <w:jc w:val="center"/>
        </w:trPr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46FD7" w14:textId="77777777" w:rsidR="00093406" w:rsidRPr="007D573C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D573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1.2.1-21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346D3" w14:textId="77777777" w:rsidR="00093406" w:rsidRPr="007D573C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D573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Élhető települések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0DD92" w14:textId="1E5B6504" w:rsidR="00093406" w:rsidRPr="00737A35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37A3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</w:t>
            </w:r>
            <w:r w:rsidR="00737A35" w:rsidRPr="00737A3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130D5" w14:textId="77777777" w:rsidR="00093406" w:rsidRPr="00737A35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37A35">
              <w:rPr>
                <w:rFonts w:ascii="Times New Roman" w:hAnsi="Times New Roman" w:cs="Times New Roman"/>
                <w:sz w:val="20"/>
                <w:szCs w:val="20"/>
              </w:rPr>
              <w:t>21 354 087 991 Ft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B52E4" w14:textId="77777777" w:rsidR="00093406" w:rsidRPr="00737A35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37A3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7C3E1" w14:textId="77777777" w:rsidR="00093406" w:rsidRPr="00737A35" w:rsidRDefault="00093406" w:rsidP="001E4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A35">
              <w:rPr>
                <w:rFonts w:ascii="Times New Roman" w:hAnsi="Times New Roman" w:cs="Times New Roman"/>
                <w:sz w:val="20"/>
                <w:szCs w:val="20"/>
              </w:rPr>
              <w:t>17 279 808 539 Ft</w:t>
            </w: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25A6B" w14:textId="05416528" w:rsidR="00093406" w:rsidRPr="00737A35" w:rsidRDefault="00737A35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37A35">
              <w:rPr>
                <w:rFonts w:ascii="Times New Roman" w:hAnsi="Times New Roman" w:cs="Times New Roman"/>
                <w:sz w:val="20"/>
                <w:szCs w:val="20"/>
              </w:rPr>
              <w:t>2 076 585 106</w:t>
            </w:r>
            <w:r w:rsidR="00093406" w:rsidRPr="00737A35">
              <w:rPr>
                <w:rFonts w:ascii="Times New Roman" w:hAnsi="Times New Roman" w:cs="Times New Roman"/>
                <w:sz w:val="20"/>
                <w:szCs w:val="20"/>
              </w:rPr>
              <w:t xml:space="preserve"> Ft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37FE2" w14:textId="77777777" w:rsidR="00093406" w:rsidRPr="00737A35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37A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93406" w:rsidRPr="00B241F5" w14:paraId="4B365CA5" w14:textId="77777777" w:rsidTr="00EA6A43">
        <w:trPr>
          <w:trHeight w:val="510"/>
          <w:jc w:val="center"/>
        </w:trPr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1B02C" w14:textId="77777777" w:rsidR="00093406" w:rsidRPr="007D573C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D573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1.2.2-21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C10B4" w14:textId="15F2F9D4" w:rsidR="00093406" w:rsidRPr="007D573C" w:rsidRDefault="00093406" w:rsidP="0072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D573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Szociális célú városrehabilitáció (ERFA)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9A182" w14:textId="77777777" w:rsidR="00093406" w:rsidRPr="00D15347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153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5D0DD" w14:textId="77777777" w:rsidR="00093406" w:rsidRPr="00D15347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15347">
              <w:rPr>
                <w:rFonts w:ascii="Times New Roman" w:hAnsi="Times New Roman" w:cs="Times New Roman"/>
                <w:sz w:val="20"/>
                <w:szCs w:val="20"/>
              </w:rPr>
              <w:t>567 162 127 Ft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AA9EB" w14:textId="77777777" w:rsidR="00093406" w:rsidRPr="00D15347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153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56B1F" w14:textId="77777777" w:rsidR="00093406" w:rsidRPr="00D15347" w:rsidRDefault="00093406" w:rsidP="001E4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47">
              <w:rPr>
                <w:rFonts w:ascii="Times New Roman" w:hAnsi="Times New Roman" w:cs="Times New Roman"/>
                <w:sz w:val="20"/>
                <w:szCs w:val="20"/>
              </w:rPr>
              <w:t>206 627 925 Ft</w:t>
            </w: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B5A6E" w14:textId="50F43530" w:rsidR="00093406" w:rsidRPr="00D15347" w:rsidRDefault="00D15347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1534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93406" w:rsidRPr="00D15347">
              <w:rPr>
                <w:rFonts w:ascii="Times New Roman" w:hAnsi="Times New Roman" w:cs="Times New Roman"/>
                <w:sz w:val="20"/>
                <w:szCs w:val="20"/>
              </w:rPr>
              <w:t xml:space="preserve"> Ft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90375" w14:textId="77777777" w:rsidR="00093406" w:rsidRPr="00D15347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15347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</w:tc>
      </w:tr>
      <w:tr w:rsidR="00093406" w:rsidRPr="00B241F5" w14:paraId="4FB6C86C" w14:textId="77777777" w:rsidTr="00EA6A43">
        <w:trPr>
          <w:trHeight w:val="765"/>
          <w:jc w:val="center"/>
        </w:trPr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D082B" w14:textId="77777777" w:rsidR="00093406" w:rsidRPr="007D573C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D573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1.2.3-21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65CD0" w14:textId="0176D04E" w:rsidR="00093406" w:rsidRPr="007D573C" w:rsidRDefault="00093406" w:rsidP="0072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D573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Belterületi utak fejlesztése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350F6" w14:textId="3DA7807C" w:rsidR="00093406" w:rsidRPr="00692D91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92D9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</w:t>
            </w:r>
            <w:r w:rsidR="00692D91" w:rsidRPr="00692D9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5A616" w14:textId="77777777" w:rsidR="00093406" w:rsidRPr="00692D91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92D91">
              <w:rPr>
                <w:rFonts w:ascii="Times New Roman" w:hAnsi="Times New Roman" w:cs="Times New Roman"/>
                <w:sz w:val="20"/>
                <w:szCs w:val="20"/>
              </w:rPr>
              <w:t>14 124 131 468 Ft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18716" w14:textId="77777777" w:rsidR="00093406" w:rsidRPr="00692D91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92D9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842D0" w14:textId="77777777" w:rsidR="00093406" w:rsidRPr="00692D91" w:rsidRDefault="00093406" w:rsidP="001E4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D91">
              <w:rPr>
                <w:rFonts w:ascii="Times New Roman" w:hAnsi="Times New Roman" w:cs="Times New Roman"/>
                <w:sz w:val="20"/>
                <w:szCs w:val="20"/>
              </w:rPr>
              <w:t>11 922 962 727 Ft</w:t>
            </w: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80E04" w14:textId="6C9FA92D" w:rsidR="00093406" w:rsidRPr="00692D91" w:rsidRDefault="00692D91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92D91">
              <w:rPr>
                <w:rFonts w:ascii="Times New Roman" w:hAnsi="Times New Roman" w:cs="Times New Roman"/>
                <w:sz w:val="20"/>
                <w:szCs w:val="20"/>
              </w:rPr>
              <w:t>4 345 921 330</w:t>
            </w:r>
            <w:r w:rsidR="00093406" w:rsidRPr="00692D91">
              <w:rPr>
                <w:rFonts w:ascii="Times New Roman" w:hAnsi="Times New Roman" w:cs="Times New Roman"/>
                <w:sz w:val="20"/>
                <w:szCs w:val="20"/>
              </w:rPr>
              <w:t xml:space="preserve"> Ft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E6ADF" w14:textId="77777777" w:rsidR="00093406" w:rsidRPr="00692D91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92D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93406" w:rsidRPr="00B241F5" w14:paraId="08C59F8B" w14:textId="77777777" w:rsidTr="00EA6A43">
        <w:trPr>
          <w:trHeight w:val="1020"/>
          <w:jc w:val="center"/>
        </w:trPr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3C827" w14:textId="77777777" w:rsidR="00093406" w:rsidRPr="007D573C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D573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1.3.1-21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24FBF" w14:textId="0B9D9333" w:rsidR="00093406" w:rsidRPr="007D573C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D573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Fenntartható városfejlesztési stratégiák támogatása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A021E" w14:textId="77777777" w:rsidR="00093406" w:rsidRPr="00A643B2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643B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0076D" w14:textId="77777777" w:rsidR="00093406" w:rsidRPr="00A643B2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643B2">
              <w:rPr>
                <w:rFonts w:ascii="Times New Roman" w:hAnsi="Times New Roman" w:cs="Times New Roman"/>
                <w:sz w:val="20"/>
                <w:szCs w:val="20"/>
              </w:rPr>
              <w:t>105 000 000 Ft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9A1DC" w14:textId="77777777" w:rsidR="00093406" w:rsidRPr="00A643B2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643B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356C9" w14:textId="77777777" w:rsidR="00093406" w:rsidRPr="00A643B2" w:rsidRDefault="00093406" w:rsidP="001E4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3B2">
              <w:rPr>
                <w:rFonts w:ascii="Times New Roman" w:hAnsi="Times New Roman" w:cs="Times New Roman"/>
                <w:sz w:val="20"/>
                <w:szCs w:val="20"/>
              </w:rPr>
              <w:t>105 000 000 Ft</w:t>
            </w: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509AD" w14:textId="783F2392" w:rsidR="00093406" w:rsidRPr="00A643B2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643B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A643B2" w:rsidRPr="00A643B2">
              <w:rPr>
                <w:rFonts w:ascii="Times New Roman" w:hAnsi="Times New Roman" w:cs="Times New Roman"/>
                <w:sz w:val="20"/>
                <w:szCs w:val="20"/>
              </w:rPr>
              <w:t> 694 543</w:t>
            </w:r>
            <w:r w:rsidRPr="00A643B2">
              <w:rPr>
                <w:rFonts w:ascii="Times New Roman" w:hAnsi="Times New Roman" w:cs="Times New Roman"/>
                <w:sz w:val="20"/>
                <w:szCs w:val="20"/>
              </w:rPr>
              <w:t xml:space="preserve"> Ft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11594" w14:textId="77777777" w:rsidR="00093406" w:rsidRPr="00A643B2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643B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93406" w:rsidRPr="00B241F5" w14:paraId="768381AA" w14:textId="77777777" w:rsidTr="00EA6A43">
        <w:trPr>
          <w:trHeight w:val="1020"/>
          <w:jc w:val="center"/>
        </w:trPr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43A2" w14:textId="77777777" w:rsidR="00093406" w:rsidRPr="007D573C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D573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1.3.2-23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1B618" w14:textId="39CEA7D6" w:rsidR="00093406" w:rsidRPr="00725E9F" w:rsidRDefault="00093406" w:rsidP="00725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C">
              <w:rPr>
                <w:rFonts w:ascii="Times New Roman" w:hAnsi="Times New Roman" w:cs="Times New Roman"/>
                <w:sz w:val="20"/>
                <w:szCs w:val="20"/>
              </w:rPr>
              <w:t>Fenntartható városfejlesztés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38698" w14:textId="276668DD" w:rsidR="00093406" w:rsidRPr="00B241F5" w:rsidRDefault="000C49BF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hu-HU"/>
              </w:rPr>
            </w:pPr>
            <w:r w:rsidRPr="000C49B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F40D2" w14:textId="77777777" w:rsidR="00093406" w:rsidRPr="00B241F5" w:rsidRDefault="00093406" w:rsidP="001E4167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F1FA0">
              <w:rPr>
                <w:rFonts w:ascii="Times New Roman" w:hAnsi="Times New Roman" w:cs="Times New Roman"/>
                <w:sz w:val="20"/>
                <w:szCs w:val="20"/>
              </w:rPr>
              <w:t>22 495 752 870 Ft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69CB2" w14:textId="32AFBF20" w:rsidR="00093406" w:rsidRPr="000C49BF" w:rsidRDefault="000C49BF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C49B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61B6D" w14:textId="15F32806" w:rsidR="00093406" w:rsidRPr="000C49BF" w:rsidRDefault="000C49BF" w:rsidP="001E4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9BF">
              <w:rPr>
                <w:rFonts w:ascii="Times New Roman" w:hAnsi="Times New Roman" w:cs="Times New Roman"/>
                <w:sz w:val="20"/>
                <w:szCs w:val="20"/>
              </w:rPr>
              <w:t>11 325 752 870 Ft</w:t>
            </w: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F85F" w14:textId="77777777" w:rsidR="00093406" w:rsidRPr="000C49BF" w:rsidRDefault="00093406" w:rsidP="001E4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9B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30AD6" w14:textId="77777777" w:rsidR="00093406" w:rsidRPr="000C49BF" w:rsidRDefault="00093406" w:rsidP="001E4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9B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93406" w:rsidRPr="00B241F5" w14:paraId="2CAAF5BA" w14:textId="77777777" w:rsidTr="00EA6A43">
        <w:trPr>
          <w:trHeight w:val="510"/>
          <w:jc w:val="center"/>
        </w:trPr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2535D" w14:textId="77777777" w:rsidR="00093406" w:rsidRPr="007D573C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D573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2.1.1-21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4F353" w14:textId="77777777" w:rsidR="00093406" w:rsidRPr="007D573C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D573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Önkormányzati épületek energetikai korszerűsítése</w:t>
            </w:r>
          </w:p>
          <w:p w14:paraId="0EC77725" w14:textId="2A92267E" w:rsidR="00093406" w:rsidRPr="007D573C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D573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(</w:t>
            </w:r>
            <w:r w:rsidR="00725E9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 db projekt átkerült teljes mértékben hazai forrásra, 1 db projekt vegyes </w:t>
            </w:r>
            <w:proofErr w:type="spellStart"/>
            <w:r w:rsidR="00725E9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finanszírozású</w:t>
            </w:r>
            <w:proofErr w:type="spellEnd"/>
            <w:r w:rsidR="00725E9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lett</w:t>
            </w:r>
            <w:r w:rsidRPr="007D573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27E91" w14:textId="77777777" w:rsidR="00093406" w:rsidRPr="00725E9F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25E9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E3606" w14:textId="77777777" w:rsidR="00093406" w:rsidRPr="00725E9F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25E9F">
              <w:rPr>
                <w:rFonts w:ascii="Times New Roman" w:hAnsi="Times New Roman" w:cs="Times New Roman"/>
                <w:sz w:val="20"/>
                <w:szCs w:val="20"/>
              </w:rPr>
              <w:t>7 315 628 040 Ft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B6A9C" w14:textId="6145D738" w:rsidR="00093406" w:rsidRPr="00725E9F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25E9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</w:t>
            </w:r>
            <w:r w:rsidR="00725E9F" w:rsidRPr="00725E9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5A1C2" w14:textId="7DF060CC" w:rsidR="00093406" w:rsidRPr="00725E9F" w:rsidRDefault="00725E9F" w:rsidP="001E4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E9F">
              <w:rPr>
                <w:rFonts w:ascii="Times New Roman" w:hAnsi="Times New Roman" w:cs="Times New Roman"/>
                <w:sz w:val="20"/>
                <w:szCs w:val="20"/>
              </w:rPr>
              <w:t>4 496 723 866</w:t>
            </w:r>
            <w:r w:rsidR="00093406" w:rsidRPr="00725E9F">
              <w:rPr>
                <w:rFonts w:ascii="Times New Roman" w:hAnsi="Times New Roman" w:cs="Times New Roman"/>
                <w:sz w:val="20"/>
                <w:szCs w:val="20"/>
              </w:rPr>
              <w:t xml:space="preserve"> Ft</w:t>
            </w: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B8D6F" w14:textId="5D48D03F" w:rsidR="00093406" w:rsidRPr="00725E9F" w:rsidRDefault="00725E9F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25E9F">
              <w:rPr>
                <w:rFonts w:ascii="Times New Roman" w:hAnsi="Times New Roman" w:cs="Times New Roman"/>
                <w:sz w:val="20"/>
                <w:szCs w:val="20"/>
              </w:rPr>
              <w:t>2 162 024 850</w:t>
            </w:r>
            <w:r w:rsidR="00093406" w:rsidRPr="00725E9F">
              <w:rPr>
                <w:rFonts w:ascii="Times New Roman" w:hAnsi="Times New Roman" w:cs="Times New Roman"/>
                <w:sz w:val="20"/>
                <w:szCs w:val="20"/>
              </w:rPr>
              <w:t xml:space="preserve"> Ft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DA761" w14:textId="77777777" w:rsidR="00093406" w:rsidRPr="00725E9F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25E9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93406" w:rsidRPr="00B241F5" w14:paraId="25D194F0" w14:textId="77777777" w:rsidTr="00EA6A43">
        <w:trPr>
          <w:trHeight w:val="510"/>
          <w:jc w:val="center"/>
        </w:trPr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1B0F8" w14:textId="77777777" w:rsidR="00093406" w:rsidRPr="007D573C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D573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3.1.1-21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EF01D" w14:textId="5ABA7832" w:rsidR="00093406" w:rsidRPr="007D573C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D573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Megyei foglalkoztatási- gazdaságfejlesztési együttműködés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E5018" w14:textId="77777777" w:rsidR="00093406" w:rsidRPr="00200703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0070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36E1B" w14:textId="77777777" w:rsidR="00093406" w:rsidRPr="00200703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00703">
              <w:rPr>
                <w:rFonts w:ascii="Times New Roman" w:hAnsi="Times New Roman" w:cs="Times New Roman"/>
                <w:sz w:val="20"/>
                <w:szCs w:val="20"/>
              </w:rPr>
              <w:t>5 546 000 000 Ft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3BCEE" w14:textId="77777777" w:rsidR="00093406" w:rsidRPr="00200703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0070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3B601" w14:textId="77777777" w:rsidR="00093406" w:rsidRPr="00200703" w:rsidRDefault="00093406" w:rsidP="001E4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703">
              <w:rPr>
                <w:rFonts w:ascii="Times New Roman" w:hAnsi="Times New Roman" w:cs="Times New Roman"/>
                <w:sz w:val="20"/>
                <w:szCs w:val="20"/>
              </w:rPr>
              <w:t>5 546 000 000 Ft</w:t>
            </w: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9F90A" w14:textId="593BDA8D" w:rsidR="00093406" w:rsidRPr="00200703" w:rsidRDefault="0020070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00703">
              <w:rPr>
                <w:rFonts w:ascii="Times New Roman" w:hAnsi="Times New Roman" w:cs="Times New Roman"/>
                <w:sz w:val="20"/>
                <w:szCs w:val="20"/>
              </w:rPr>
              <w:t>1 120 885 546</w:t>
            </w:r>
            <w:r w:rsidR="00093406" w:rsidRPr="00200703">
              <w:rPr>
                <w:rFonts w:ascii="Times New Roman" w:hAnsi="Times New Roman" w:cs="Times New Roman"/>
                <w:sz w:val="20"/>
                <w:szCs w:val="20"/>
              </w:rPr>
              <w:t xml:space="preserve"> Ft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3C2B6" w14:textId="77777777" w:rsidR="00093406" w:rsidRPr="00200703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0070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93406" w:rsidRPr="00B241F5" w14:paraId="34E60DD6" w14:textId="77777777" w:rsidTr="00EA6A43">
        <w:trPr>
          <w:trHeight w:val="300"/>
          <w:jc w:val="center"/>
        </w:trPr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B8656" w14:textId="77777777" w:rsidR="00093406" w:rsidRPr="007D573C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D573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3.1.2-21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2A7F3" w14:textId="2D4DDC4C" w:rsidR="00093406" w:rsidRPr="007D573C" w:rsidRDefault="00093406" w:rsidP="005A1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D573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Szociális célú városrehabilitáció (ESZA)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1F4BC" w14:textId="77777777" w:rsidR="00093406" w:rsidRPr="00D054B2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054B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6B9E0" w14:textId="77777777" w:rsidR="00093406" w:rsidRPr="00D054B2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054B2">
              <w:rPr>
                <w:rFonts w:ascii="Times New Roman" w:hAnsi="Times New Roman" w:cs="Times New Roman"/>
                <w:sz w:val="20"/>
                <w:szCs w:val="20"/>
              </w:rPr>
              <w:t>287 823 931 Ft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5773B" w14:textId="77777777" w:rsidR="00093406" w:rsidRPr="00D054B2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054B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BD665" w14:textId="77777777" w:rsidR="00093406" w:rsidRPr="00D054B2" w:rsidRDefault="00093406" w:rsidP="001E4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4B2">
              <w:rPr>
                <w:rFonts w:ascii="Times New Roman" w:hAnsi="Times New Roman" w:cs="Times New Roman"/>
                <w:sz w:val="20"/>
                <w:szCs w:val="20"/>
              </w:rPr>
              <w:t>112 999 913 Ft</w:t>
            </w: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CB0DD" w14:textId="2DD4E090" w:rsidR="00093406" w:rsidRPr="00D054B2" w:rsidRDefault="00D054B2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054B2">
              <w:rPr>
                <w:rFonts w:ascii="Times New Roman" w:hAnsi="Times New Roman" w:cs="Times New Roman"/>
                <w:sz w:val="20"/>
                <w:szCs w:val="20"/>
              </w:rPr>
              <w:t>33 578 845</w:t>
            </w:r>
            <w:r w:rsidR="00093406" w:rsidRPr="00D054B2">
              <w:rPr>
                <w:rFonts w:ascii="Times New Roman" w:hAnsi="Times New Roman" w:cs="Times New Roman"/>
                <w:sz w:val="20"/>
                <w:szCs w:val="20"/>
              </w:rPr>
              <w:t xml:space="preserve"> Ft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9F5C3" w14:textId="77777777" w:rsidR="00093406" w:rsidRPr="00D054B2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054B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93406" w:rsidRPr="00B241F5" w14:paraId="15C9B2A7" w14:textId="77777777" w:rsidTr="00EA6A43">
        <w:trPr>
          <w:trHeight w:val="300"/>
          <w:jc w:val="center"/>
        </w:trPr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D95F8" w14:textId="77777777" w:rsidR="00093406" w:rsidRPr="007D573C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D573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3.1.3-23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F3305" w14:textId="65492068" w:rsidR="00093406" w:rsidRPr="007D573C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D573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Helyi humán fejlesztések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51E41" w14:textId="77777777" w:rsidR="00093406" w:rsidRPr="000600E8" w:rsidRDefault="00093406" w:rsidP="001E4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0E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6A2D7" w14:textId="77777777" w:rsidR="00093406" w:rsidRPr="000600E8" w:rsidRDefault="00093406" w:rsidP="001E4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0E8">
              <w:rPr>
                <w:rFonts w:ascii="Times New Roman" w:hAnsi="Times New Roman" w:cs="Times New Roman"/>
                <w:sz w:val="20"/>
                <w:szCs w:val="20"/>
              </w:rPr>
              <w:t>2 978 360 000 Ft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1FC6E" w14:textId="77777777" w:rsidR="00093406" w:rsidRPr="000600E8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600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DD836" w14:textId="77777777" w:rsidR="00093406" w:rsidRPr="000600E8" w:rsidRDefault="00093406" w:rsidP="001E4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0E8">
              <w:rPr>
                <w:rFonts w:ascii="Times New Roman" w:hAnsi="Times New Roman" w:cs="Times New Roman"/>
                <w:sz w:val="20"/>
                <w:szCs w:val="20"/>
              </w:rPr>
              <w:t>2 978 360 000 Ft</w:t>
            </w: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C57B2" w14:textId="0CF94D05" w:rsidR="00093406" w:rsidRPr="000600E8" w:rsidRDefault="00093406" w:rsidP="001E4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0E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600E8" w:rsidRPr="000600E8">
              <w:rPr>
                <w:rFonts w:ascii="Times New Roman" w:hAnsi="Times New Roman" w:cs="Times New Roman"/>
                <w:sz w:val="20"/>
                <w:szCs w:val="20"/>
              </w:rPr>
              <w:t>05 754 508</w:t>
            </w:r>
            <w:r w:rsidRPr="000600E8">
              <w:rPr>
                <w:rFonts w:ascii="Times New Roman" w:hAnsi="Times New Roman" w:cs="Times New Roman"/>
                <w:sz w:val="20"/>
                <w:szCs w:val="20"/>
              </w:rPr>
              <w:t xml:space="preserve"> Ft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D3DD4" w14:textId="77777777" w:rsidR="00093406" w:rsidRPr="000600E8" w:rsidRDefault="00093406" w:rsidP="001E4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0E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93406" w:rsidRPr="00B241F5" w14:paraId="4C84D983" w14:textId="77777777" w:rsidTr="00EA6A43">
        <w:trPr>
          <w:trHeight w:val="300"/>
          <w:jc w:val="center"/>
        </w:trPr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772D4" w14:textId="77777777" w:rsidR="00093406" w:rsidRPr="007D573C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D573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3.2.1-23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591A5" w14:textId="35B88524" w:rsidR="00093406" w:rsidRPr="007D573C" w:rsidRDefault="00093406" w:rsidP="005A1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D573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Fenntartható humán fejlesztések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13FCF" w14:textId="77777777" w:rsidR="00093406" w:rsidRPr="00334055" w:rsidRDefault="00093406" w:rsidP="001E4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05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9AC02" w14:textId="77777777" w:rsidR="00093406" w:rsidRPr="00334055" w:rsidRDefault="00093406" w:rsidP="001E4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055">
              <w:rPr>
                <w:rFonts w:ascii="Times New Roman" w:hAnsi="Times New Roman" w:cs="Times New Roman"/>
                <w:sz w:val="20"/>
                <w:szCs w:val="20"/>
              </w:rPr>
              <w:t>3 603 979 256 Ft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8B154" w14:textId="28AB23D0" w:rsidR="00093406" w:rsidRPr="00334055" w:rsidRDefault="00334055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3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7ACDE" w14:textId="08F05504" w:rsidR="00093406" w:rsidRPr="00334055" w:rsidRDefault="00334055" w:rsidP="001E4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055">
              <w:rPr>
                <w:rFonts w:ascii="Times New Roman" w:hAnsi="Times New Roman" w:cs="Times New Roman"/>
                <w:sz w:val="20"/>
                <w:szCs w:val="20"/>
              </w:rPr>
              <w:t>3 408 150 000</w:t>
            </w:r>
            <w:r w:rsidR="00093406" w:rsidRPr="00334055">
              <w:rPr>
                <w:rFonts w:ascii="Times New Roman" w:hAnsi="Times New Roman" w:cs="Times New Roman"/>
                <w:sz w:val="20"/>
                <w:szCs w:val="20"/>
              </w:rPr>
              <w:t xml:space="preserve"> Ft</w:t>
            </w: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FBA30" w14:textId="77777777" w:rsidR="00093406" w:rsidRPr="00334055" w:rsidRDefault="00093406" w:rsidP="001E4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055">
              <w:rPr>
                <w:rFonts w:ascii="Times New Roman" w:hAnsi="Times New Roman" w:cs="Times New Roman"/>
                <w:sz w:val="20"/>
                <w:szCs w:val="20"/>
              </w:rPr>
              <w:t>0 Ft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66887" w14:textId="77777777" w:rsidR="00093406" w:rsidRPr="00334055" w:rsidRDefault="00093406" w:rsidP="001E4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0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93406" w:rsidRPr="00B241F5" w14:paraId="2CF5C442" w14:textId="77777777" w:rsidTr="00EA6A43">
        <w:trPr>
          <w:trHeight w:val="300"/>
          <w:jc w:val="center"/>
        </w:trPr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94198" w14:textId="77777777" w:rsidR="00093406" w:rsidRPr="007D573C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D573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3.3.1-21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202E4" w14:textId="61142462" w:rsidR="00093406" w:rsidRPr="007D573C" w:rsidRDefault="00093406" w:rsidP="005A1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D573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Gyermeknevelést támogató humán infrastruktúra fejlesztése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5B59A" w14:textId="77777777" w:rsidR="00093406" w:rsidRPr="00093380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93380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4A772" w14:textId="77777777" w:rsidR="00093406" w:rsidRPr="00093380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93380">
              <w:rPr>
                <w:rFonts w:ascii="Times New Roman" w:hAnsi="Times New Roman" w:cs="Times New Roman"/>
                <w:sz w:val="20"/>
                <w:szCs w:val="20"/>
              </w:rPr>
              <w:t>3 306 128 375 Ft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8735D" w14:textId="77777777" w:rsidR="00093406" w:rsidRPr="00093380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9338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EA469" w14:textId="77777777" w:rsidR="00093406" w:rsidRPr="00093380" w:rsidRDefault="00093406" w:rsidP="001E4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380">
              <w:rPr>
                <w:rFonts w:ascii="Times New Roman" w:hAnsi="Times New Roman" w:cs="Times New Roman"/>
                <w:sz w:val="20"/>
                <w:szCs w:val="20"/>
              </w:rPr>
              <w:t>2 394 308 101 Ft</w:t>
            </w: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5F9A9" w14:textId="257B90CB" w:rsidR="00093406" w:rsidRPr="00093380" w:rsidRDefault="00093380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93380">
              <w:rPr>
                <w:rFonts w:ascii="Times New Roman" w:hAnsi="Times New Roman" w:cs="Times New Roman"/>
                <w:sz w:val="20"/>
                <w:szCs w:val="20"/>
              </w:rPr>
              <w:t>1 359 654 274</w:t>
            </w:r>
            <w:r w:rsidR="00093406" w:rsidRPr="00093380">
              <w:rPr>
                <w:rFonts w:ascii="Times New Roman" w:hAnsi="Times New Roman" w:cs="Times New Roman"/>
                <w:sz w:val="20"/>
                <w:szCs w:val="20"/>
              </w:rPr>
              <w:t xml:space="preserve"> Ft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76DA3" w14:textId="77777777" w:rsidR="00093406" w:rsidRPr="00093380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933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93406" w:rsidRPr="00B241F5" w14:paraId="6A3B87B8" w14:textId="77777777" w:rsidTr="00EA6A43">
        <w:trPr>
          <w:trHeight w:val="510"/>
          <w:jc w:val="center"/>
        </w:trPr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6DABC" w14:textId="77777777" w:rsidR="00093406" w:rsidRPr="007D573C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D573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3.3.2-21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2586E" w14:textId="5DD2DBE9" w:rsidR="00093406" w:rsidRPr="007D573C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D573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Helyi egészségügyi és szociális infrastruktúra fejlesztése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750CC" w14:textId="03925506" w:rsidR="00093406" w:rsidRPr="005A1F06" w:rsidRDefault="005A1F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A1F0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37DF8" w14:textId="77777777" w:rsidR="00093406" w:rsidRPr="005A1F06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A1F06">
              <w:rPr>
                <w:rFonts w:ascii="Times New Roman" w:hAnsi="Times New Roman" w:cs="Times New Roman"/>
                <w:sz w:val="20"/>
                <w:szCs w:val="20"/>
              </w:rPr>
              <w:t>2 142 538 626 Ft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48775" w14:textId="4F809A31" w:rsidR="00093406" w:rsidRPr="005A1F06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A1F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A1F06" w:rsidRPr="005A1F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D70CB" w14:textId="3318EB83" w:rsidR="00093406" w:rsidRPr="005A1F06" w:rsidRDefault="00093406" w:rsidP="001E4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F06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5A1F06" w:rsidRPr="005A1F0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A1F06">
              <w:rPr>
                <w:rFonts w:ascii="Times New Roman" w:hAnsi="Times New Roman" w:cs="Times New Roman"/>
                <w:sz w:val="20"/>
                <w:szCs w:val="20"/>
              </w:rPr>
              <w:t>49 846 033 Ft</w:t>
            </w: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CD4B0" w14:textId="15B60AC6" w:rsidR="00093406" w:rsidRPr="005A1F06" w:rsidRDefault="005A1F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A1F06">
              <w:rPr>
                <w:rFonts w:ascii="Times New Roman" w:hAnsi="Times New Roman" w:cs="Times New Roman"/>
                <w:sz w:val="20"/>
                <w:szCs w:val="20"/>
              </w:rPr>
              <w:t>386 904 779</w:t>
            </w:r>
            <w:r w:rsidR="00093406" w:rsidRPr="005A1F06">
              <w:rPr>
                <w:rFonts w:ascii="Times New Roman" w:hAnsi="Times New Roman" w:cs="Times New Roman"/>
                <w:sz w:val="20"/>
                <w:szCs w:val="20"/>
              </w:rPr>
              <w:t xml:space="preserve"> Ft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865EF" w14:textId="77777777" w:rsidR="00093406" w:rsidRPr="005A1F06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A1F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93406" w:rsidRPr="00B241F5" w14:paraId="4A8B9406" w14:textId="77777777" w:rsidTr="00EA6A43">
        <w:trPr>
          <w:trHeight w:val="510"/>
          <w:jc w:val="center"/>
        </w:trPr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28E77" w14:textId="77777777" w:rsidR="00093406" w:rsidRPr="007D573C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D573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3.3.3-23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01EEF" w14:textId="337DDA53" w:rsidR="00093406" w:rsidRPr="007D573C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D573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Köznevelési infrastruktúra fejlesztése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F770A" w14:textId="77777777" w:rsidR="00093406" w:rsidRPr="00D83425" w:rsidRDefault="00093406" w:rsidP="001E4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42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687A9" w14:textId="77777777" w:rsidR="00093406" w:rsidRPr="00D83425" w:rsidRDefault="00093406" w:rsidP="001E4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425">
              <w:rPr>
                <w:rFonts w:ascii="Times New Roman" w:hAnsi="Times New Roman" w:cs="Times New Roman"/>
                <w:sz w:val="20"/>
                <w:szCs w:val="20"/>
              </w:rPr>
              <w:t>3 238 440 910 Ft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F2DBF" w14:textId="643A3489" w:rsidR="00093406" w:rsidRPr="00D83425" w:rsidRDefault="00D83425" w:rsidP="001E4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42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AB993" w14:textId="43612E4F" w:rsidR="00093406" w:rsidRPr="00D83425" w:rsidRDefault="00D83425" w:rsidP="001E4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425">
              <w:rPr>
                <w:rFonts w:ascii="Times New Roman" w:hAnsi="Times New Roman" w:cs="Times New Roman"/>
                <w:sz w:val="20"/>
                <w:szCs w:val="20"/>
              </w:rPr>
              <w:t>3 114 </w:t>
            </w:r>
            <w:r w:rsidR="00093406" w:rsidRPr="00D834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83425">
              <w:rPr>
                <w:rFonts w:ascii="Times New Roman" w:hAnsi="Times New Roman" w:cs="Times New Roman"/>
                <w:sz w:val="20"/>
                <w:szCs w:val="20"/>
              </w:rPr>
              <w:t>00 002</w:t>
            </w:r>
            <w:r w:rsidR="00093406" w:rsidRPr="00D83425">
              <w:rPr>
                <w:rFonts w:ascii="Times New Roman" w:hAnsi="Times New Roman" w:cs="Times New Roman"/>
                <w:sz w:val="20"/>
                <w:szCs w:val="20"/>
              </w:rPr>
              <w:t xml:space="preserve"> Ft</w:t>
            </w: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E174A" w14:textId="77777777" w:rsidR="00093406" w:rsidRPr="00D83425" w:rsidRDefault="00093406" w:rsidP="001E4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425">
              <w:rPr>
                <w:rFonts w:ascii="Times New Roman" w:hAnsi="Times New Roman" w:cs="Times New Roman"/>
                <w:sz w:val="20"/>
                <w:szCs w:val="20"/>
              </w:rPr>
              <w:t>0 Ft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05863" w14:textId="77777777" w:rsidR="00093406" w:rsidRPr="00D83425" w:rsidRDefault="00093406" w:rsidP="001E4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4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93406" w:rsidRPr="00B241F5" w14:paraId="3FF6219D" w14:textId="77777777" w:rsidTr="00EA6A43">
        <w:trPr>
          <w:trHeight w:val="510"/>
          <w:jc w:val="center"/>
        </w:trPr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A7DA6" w14:textId="77777777" w:rsidR="00093406" w:rsidRPr="007D573C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D573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3.4.1-23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7BD17" w14:textId="7F7B517E" w:rsidR="00093406" w:rsidRPr="007D573C" w:rsidRDefault="00093406" w:rsidP="004B1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D573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Fenntartható humán infrastruktúra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E1677" w14:textId="77777777" w:rsidR="00093406" w:rsidRPr="004B159D" w:rsidRDefault="00093406" w:rsidP="001E4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59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0977E" w14:textId="77777777" w:rsidR="00093406" w:rsidRPr="004B159D" w:rsidRDefault="00093406" w:rsidP="001E4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59D">
              <w:rPr>
                <w:rFonts w:ascii="Times New Roman" w:hAnsi="Times New Roman" w:cs="Times New Roman"/>
                <w:sz w:val="20"/>
                <w:szCs w:val="20"/>
              </w:rPr>
              <w:t>8 744 887 130 Ft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08275" w14:textId="5AC40F0D" w:rsidR="00093406" w:rsidRPr="004B159D" w:rsidRDefault="004B159D" w:rsidP="001E4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59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9997E" w14:textId="19746069" w:rsidR="00093406" w:rsidRPr="004B159D" w:rsidRDefault="004B159D" w:rsidP="001E4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59D">
              <w:rPr>
                <w:rFonts w:ascii="Times New Roman" w:hAnsi="Times New Roman" w:cs="Times New Roman"/>
                <w:sz w:val="20"/>
                <w:szCs w:val="20"/>
              </w:rPr>
              <w:t>7 194 887 129</w:t>
            </w:r>
            <w:r w:rsidR="00093406" w:rsidRPr="004B159D">
              <w:rPr>
                <w:rFonts w:ascii="Times New Roman" w:hAnsi="Times New Roman" w:cs="Times New Roman"/>
                <w:sz w:val="20"/>
                <w:szCs w:val="20"/>
              </w:rPr>
              <w:t xml:space="preserve"> Ft</w:t>
            </w: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728E" w14:textId="77777777" w:rsidR="00093406" w:rsidRPr="004B159D" w:rsidRDefault="00093406" w:rsidP="001E4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59D">
              <w:rPr>
                <w:rFonts w:ascii="Times New Roman" w:hAnsi="Times New Roman" w:cs="Times New Roman"/>
                <w:sz w:val="20"/>
                <w:szCs w:val="20"/>
              </w:rPr>
              <w:t>0 Ft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18E1F" w14:textId="77777777" w:rsidR="00093406" w:rsidRPr="004B159D" w:rsidRDefault="00093406" w:rsidP="001E4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59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93406" w:rsidRPr="00B241F5" w14:paraId="6F8F5BA2" w14:textId="77777777" w:rsidTr="00EA6A43">
        <w:trPr>
          <w:trHeight w:val="510"/>
          <w:jc w:val="center"/>
        </w:trPr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462AB" w14:textId="77777777" w:rsidR="00093406" w:rsidRPr="007D573C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D573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6.1.2-21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A23C5" w14:textId="77777777" w:rsidR="00093406" w:rsidRPr="007D573C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D573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4-5 számjegyű utak fejlesztése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B1AC0" w14:textId="77777777" w:rsidR="00093406" w:rsidRPr="007B5FA4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B5FA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6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E1E07" w14:textId="77777777" w:rsidR="00093406" w:rsidRPr="007B5FA4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B5FA4">
              <w:rPr>
                <w:rFonts w:ascii="Times New Roman" w:hAnsi="Times New Roman" w:cs="Times New Roman"/>
                <w:sz w:val="20"/>
                <w:szCs w:val="20"/>
              </w:rPr>
              <w:t>18 653 885 593 Ft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2CA23" w14:textId="77777777" w:rsidR="00093406" w:rsidRPr="007B5FA4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B5FA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16127" w14:textId="77777777" w:rsidR="00093406" w:rsidRPr="007B5FA4" w:rsidRDefault="00093406" w:rsidP="001E4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FA4">
              <w:rPr>
                <w:rFonts w:ascii="Times New Roman" w:hAnsi="Times New Roman" w:cs="Times New Roman"/>
                <w:sz w:val="20"/>
                <w:szCs w:val="20"/>
              </w:rPr>
              <w:t>10 244 885 595 Ft</w:t>
            </w: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8F71A" w14:textId="2821F1D0" w:rsidR="00B36A7D" w:rsidRPr="00B36A7D" w:rsidRDefault="00B36A7D" w:rsidP="00B36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36A7D">
              <w:rPr>
                <w:rFonts w:ascii="Times New Roman" w:hAnsi="Times New Roman" w:cs="Times New Roman"/>
                <w:sz w:val="20"/>
                <w:szCs w:val="20"/>
              </w:rPr>
              <w:t>12 974 958 109</w:t>
            </w:r>
            <w:r w:rsidR="00093406" w:rsidRPr="00B36A7D">
              <w:rPr>
                <w:rFonts w:ascii="Times New Roman" w:hAnsi="Times New Roman" w:cs="Times New Roman"/>
                <w:sz w:val="20"/>
                <w:szCs w:val="20"/>
              </w:rPr>
              <w:t xml:space="preserve"> Ft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C636E" w14:textId="77777777" w:rsidR="00093406" w:rsidRPr="00B241F5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hu-HU"/>
              </w:rPr>
            </w:pPr>
            <w:r w:rsidRPr="00AD0E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93406" w:rsidRPr="00B241F5" w14:paraId="0AE36A39" w14:textId="77777777" w:rsidTr="00EA6A43">
        <w:trPr>
          <w:trHeight w:val="510"/>
          <w:jc w:val="center"/>
        </w:trPr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B4C89" w14:textId="77777777" w:rsidR="00093406" w:rsidRPr="007D573C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D573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6.1.4-23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4192E" w14:textId="77777777" w:rsidR="00093406" w:rsidRPr="007D573C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D573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Aktív turizmus fejlesztése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6EBC0" w14:textId="77777777" w:rsidR="00093406" w:rsidRPr="00F14A7D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14A7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F1020" w14:textId="77777777" w:rsidR="00093406" w:rsidRPr="00F14A7D" w:rsidRDefault="00093406" w:rsidP="001E4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A7D">
              <w:rPr>
                <w:rFonts w:ascii="Times New Roman" w:hAnsi="Times New Roman" w:cs="Times New Roman"/>
                <w:sz w:val="20"/>
                <w:szCs w:val="20"/>
              </w:rPr>
              <w:t>4 322 263 804 Ft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A5A58" w14:textId="77777777" w:rsidR="00093406" w:rsidRPr="00F14A7D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14A7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896B7" w14:textId="77777777" w:rsidR="00093406" w:rsidRPr="00F14A7D" w:rsidRDefault="00093406" w:rsidP="001E4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A7D">
              <w:rPr>
                <w:rFonts w:ascii="Times New Roman" w:hAnsi="Times New Roman" w:cs="Times New Roman"/>
                <w:sz w:val="20"/>
                <w:szCs w:val="20"/>
              </w:rPr>
              <w:t>0 Ft</w:t>
            </w: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AE5E2" w14:textId="77777777" w:rsidR="00093406" w:rsidRPr="00F14A7D" w:rsidRDefault="00093406" w:rsidP="001E4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A7D">
              <w:rPr>
                <w:rFonts w:ascii="Times New Roman" w:hAnsi="Times New Roman" w:cs="Times New Roman"/>
                <w:sz w:val="20"/>
                <w:szCs w:val="20"/>
              </w:rPr>
              <w:t>0 Ft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21599" w14:textId="77777777" w:rsidR="00093406" w:rsidRPr="00F14A7D" w:rsidRDefault="00093406" w:rsidP="001E4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A7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137C6" w:rsidRPr="00B241F5" w14:paraId="29570817" w14:textId="77777777" w:rsidTr="00EA6A43">
        <w:trPr>
          <w:trHeight w:val="510"/>
          <w:jc w:val="center"/>
        </w:trPr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C076C" w14:textId="40A8EC31" w:rsidR="003137C6" w:rsidRPr="007D573C" w:rsidRDefault="003137C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6.2.1</w:t>
            </w:r>
            <w:r w:rsidR="00B15F0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-23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58563" w14:textId="18E11AA1" w:rsidR="003137C6" w:rsidRPr="007D573C" w:rsidRDefault="00B15F01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Fenntartható versenyképes városfejlesztés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B07EB" w14:textId="13E9AA46" w:rsidR="003137C6" w:rsidRPr="00F14A7D" w:rsidRDefault="003137C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BC45F" w14:textId="192EA79A" w:rsidR="003137C6" w:rsidRPr="00F14A7D" w:rsidRDefault="00B15F01" w:rsidP="001E4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1 820 000 000 Ft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9500C" w14:textId="0635EAF8" w:rsidR="003137C6" w:rsidRPr="00324718" w:rsidRDefault="003137C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2471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0A689" w14:textId="69FA73FA" w:rsidR="003137C6" w:rsidRPr="00324718" w:rsidRDefault="003137C6" w:rsidP="001E4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718">
              <w:rPr>
                <w:rFonts w:ascii="Times New Roman" w:hAnsi="Times New Roman" w:cs="Times New Roman"/>
                <w:sz w:val="20"/>
                <w:szCs w:val="20"/>
              </w:rPr>
              <w:t>1 820 000 000</w:t>
            </w: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1CF3B" w14:textId="48403375" w:rsidR="003137C6" w:rsidRPr="00B36A7D" w:rsidRDefault="003137C6" w:rsidP="001E4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A7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7CED8" w14:textId="6202F016" w:rsidR="003137C6" w:rsidRPr="00F14A7D" w:rsidRDefault="003137C6" w:rsidP="001E4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93406" w:rsidRPr="00B241F5" w14:paraId="516C1B7E" w14:textId="77777777" w:rsidTr="00EA6A43">
        <w:trPr>
          <w:trHeight w:val="300"/>
          <w:jc w:val="center"/>
        </w:trPr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EC5CD" w14:textId="77777777" w:rsidR="00093406" w:rsidRPr="007D573C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D57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7330C" w14:textId="3219293E" w:rsidR="00093406" w:rsidRPr="008F1FA0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F1F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</w:t>
            </w:r>
            <w:r w:rsidR="0071164F" w:rsidRPr="008F1F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E2A94" w14:textId="45256DD5" w:rsidR="00093406" w:rsidRPr="008F1FA0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F1F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8F1FA0" w:rsidRPr="008F1F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30 491 975 107</w:t>
            </w:r>
            <w:r w:rsidRPr="008F1F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Ft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433BB" w14:textId="3EBF28E2" w:rsidR="00093406" w:rsidRPr="00324718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24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</w:t>
            </w:r>
            <w:r w:rsidR="00AD0E26" w:rsidRPr="00324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9136BF" w14:textId="75C212C4" w:rsidR="00093406" w:rsidRPr="00324718" w:rsidRDefault="00324718" w:rsidP="001E41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47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89 870 345 993</w:t>
            </w:r>
            <w:r w:rsidR="00093406" w:rsidRPr="003247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Ft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DFE80" w14:textId="7B917F8C" w:rsidR="00093406" w:rsidRPr="00B36A7D" w:rsidRDefault="00B36A7D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36A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  <w:r w:rsidR="00093406" w:rsidRPr="00B36A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B36A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941</w:t>
            </w:r>
            <w:r w:rsidR="00093406" w:rsidRPr="00B36A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B36A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659</w:t>
            </w:r>
            <w:r w:rsidR="00093406" w:rsidRPr="00B36A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36A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131</w:t>
            </w:r>
            <w:r w:rsidR="00093406" w:rsidRPr="00B36A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Ft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9486B" w14:textId="77777777" w:rsidR="00093406" w:rsidRPr="00AD0E26" w:rsidRDefault="0009340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D0E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</w:tbl>
    <w:p w14:paraId="3B679CE5" w14:textId="77777777" w:rsidR="00093406" w:rsidRPr="00B241F5" w:rsidRDefault="00093406" w:rsidP="00093406">
      <w:pPr>
        <w:tabs>
          <w:tab w:val="left" w:pos="63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  <w:sectPr w:rsidR="00093406" w:rsidRPr="00B241F5" w:rsidSect="00093406">
          <w:pgSz w:w="23811" w:h="16838" w:orient="landscape" w:code="8"/>
          <w:pgMar w:top="709" w:right="1418" w:bottom="851" w:left="1134" w:header="709" w:footer="709" w:gutter="0"/>
          <w:cols w:space="708"/>
          <w:titlePg/>
          <w:docGrid w:linePitch="360"/>
        </w:sectPr>
      </w:pPr>
    </w:p>
    <w:p w14:paraId="10FADB28" w14:textId="070460B2" w:rsidR="00093406" w:rsidRPr="00C52A0E" w:rsidRDefault="00093406" w:rsidP="00093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A0E">
        <w:rPr>
          <w:rFonts w:ascii="Times New Roman" w:hAnsi="Times New Roman" w:cs="Times New Roman"/>
          <w:sz w:val="24"/>
          <w:szCs w:val="24"/>
        </w:rPr>
        <w:lastRenderedPageBreak/>
        <w:t xml:space="preserve">A fenti táblázat az Irányító Hatóság által küldött 2025. </w:t>
      </w:r>
      <w:r w:rsidR="00C52A0E" w:rsidRPr="00C52A0E">
        <w:rPr>
          <w:rFonts w:ascii="Times New Roman" w:hAnsi="Times New Roman" w:cs="Times New Roman"/>
          <w:sz w:val="24"/>
          <w:szCs w:val="24"/>
        </w:rPr>
        <w:t>okt</w:t>
      </w:r>
      <w:r w:rsidRPr="00C52A0E">
        <w:rPr>
          <w:rFonts w:ascii="Times New Roman" w:hAnsi="Times New Roman" w:cs="Times New Roman"/>
          <w:sz w:val="24"/>
          <w:szCs w:val="24"/>
        </w:rPr>
        <w:t>. 1. napi adatszolgáltatás alapján készült.</w:t>
      </w:r>
    </w:p>
    <w:p w14:paraId="2AE3FC6A" w14:textId="04A73290" w:rsidR="00692F7D" w:rsidRDefault="00093406" w:rsidP="00093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A0E">
        <w:rPr>
          <w:rFonts w:ascii="Times New Roman" w:hAnsi="Times New Roman" w:cs="Times New Roman"/>
          <w:sz w:val="24"/>
          <w:szCs w:val="24"/>
        </w:rPr>
        <w:t xml:space="preserve">A táblázatban </w:t>
      </w:r>
      <w:r w:rsidR="00C52A0E" w:rsidRPr="00C52A0E">
        <w:rPr>
          <w:rFonts w:ascii="Times New Roman" w:hAnsi="Times New Roman" w:cs="Times New Roman"/>
          <w:sz w:val="24"/>
          <w:szCs w:val="24"/>
        </w:rPr>
        <w:t xml:space="preserve">nem került már </w:t>
      </w:r>
      <w:r w:rsidRPr="00C52A0E">
        <w:rPr>
          <w:rFonts w:ascii="Times New Roman" w:hAnsi="Times New Roman" w:cs="Times New Roman"/>
          <w:sz w:val="24"/>
          <w:szCs w:val="24"/>
        </w:rPr>
        <w:t>feltüntetésre, hogy mely felhívások esetében történt már meg a</w:t>
      </w:r>
      <w:r w:rsidR="00692F7D">
        <w:rPr>
          <w:rFonts w:ascii="Times New Roman" w:hAnsi="Times New Roman" w:cs="Times New Roman"/>
          <w:sz w:val="24"/>
          <w:szCs w:val="24"/>
        </w:rPr>
        <w:t xml:space="preserve"> vármegyei projektek esetében</w:t>
      </w:r>
      <w:r w:rsidRPr="00C52A0E">
        <w:rPr>
          <w:rFonts w:ascii="Times New Roman" w:hAnsi="Times New Roman" w:cs="Times New Roman"/>
          <w:sz w:val="24"/>
          <w:szCs w:val="24"/>
        </w:rPr>
        <w:t xml:space="preserve"> újraértékelés</w:t>
      </w:r>
      <w:r w:rsidR="00692F7D">
        <w:rPr>
          <w:rFonts w:ascii="Times New Roman" w:hAnsi="Times New Roman" w:cs="Times New Roman"/>
          <w:sz w:val="24"/>
          <w:szCs w:val="24"/>
        </w:rPr>
        <w:t xml:space="preserve">. Jóllehet a vármegyében minden érintett projekt kapcsán megtörtént az </w:t>
      </w:r>
      <w:proofErr w:type="spellStart"/>
      <w:r w:rsidR="00692F7D">
        <w:rPr>
          <w:rFonts w:ascii="Times New Roman" w:hAnsi="Times New Roman" w:cs="Times New Roman"/>
          <w:sz w:val="24"/>
          <w:szCs w:val="24"/>
        </w:rPr>
        <w:t>újraérétkelés</w:t>
      </w:r>
      <w:proofErr w:type="spellEnd"/>
      <w:r w:rsidR="00692F7D">
        <w:rPr>
          <w:rFonts w:ascii="Times New Roman" w:hAnsi="Times New Roman" w:cs="Times New Roman"/>
          <w:sz w:val="24"/>
          <w:szCs w:val="24"/>
        </w:rPr>
        <w:t xml:space="preserve"> és lezajlott a hozzá kapcsolódó döntés előkészítő bizottsági ülés, azonban az európai bizottság irányába történő </w:t>
      </w:r>
      <w:proofErr w:type="spellStart"/>
      <w:r w:rsidR="00692F7D">
        <w:rPr>
          <w:rFonts w:ascii="Times New Roman" w:hAnsi="Times New Roman" w:cs="Times New Roman"/>
          <w:sz w:val="24"/>
          <w:szCs w:val="24"/>
        </w:rPr>
        <w:t>validálási</w:t>
      </w:r>
      <w:proofErr w:type="spellEnd"/>
      <w:r w:rsidR="00692F7D">
        <w:rPr>
          <w:rFonts w:ascii="Times New Roman" w:hAnsi="Times New Roman" w:cs="Times New Roman"/>
          <w:sz w:val="24"/>
          <w:szCs w:val="24"/>
        </w:rPr>
        <w:t xml:space="preserve"> folyamat még nem zárult le.</w:t>
      </w:r>
    </w:p>
    <w:p w14:paraId="2F33C565" w14:textId="04AD70A7" w:rsidR="00B36A7D" w:rsidRPr="00C52A0E" w:rsidRDefault="00B36A7D" w:rsidP="00093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Továbbá az FVS város legutóbbi adatszolgáltatás óta benyújtott támogatási kérelmeinek összegét a </w:t>
      </w:r>
      <w:hyperlink r:id="rId10" w:history="1">
        <w:r w:rsidRPr="00CD353D">
          <w:rPr>
            <w:rStyle w:val="Hiperhivatkozs"/>
            <w:rFonts w:ascii="Times New Roman" w:hAnsi="Times New Roman" w:cs="Times New Roman"/>
            <w:sz w:val="24"/>
            <w:szCs w:val="24"/>
          </w:rPr>
          <w:t>www.palyazat.gov.hu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oldal 2025.12.01. napi adatszolgáltatása alapján készítettük. A 4 és 5 számjegyű utak esetében a kifizetések összege is szintén ezen metodika alapján készült.</w:t>
      </w:r>
    </w:p>
    <w:p w14:paraId="23A10A25" w14:textId="77777777" w:rsidR="00093406" w:rsidRPr="00C52A0E" w:rsidRDefault="00093406" w:rsidP="00093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0EE9E8" w14:textId="7344D972" w:rsidR="00093406" w:rsidRPr="00C52A0E" w:rsidRDefault="00093406" w:rsidP="00093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A0E">
        <w:rPr>
          <w:rFonts w:ascii="Times New Roman" w:hAnsi="Times New Roman" w:cs="Times New Roman"/>
          <w:sz w:val="24"/>
          <w:szCs w:val="24"/>
        </w:rPr>
        <w:t>A kifizetések összege a</w:t>
      </w:r>
      <w:r w:rsidR="00C52A0E" w:rsidRPr="00C52A0E">
        <w:rPr>
          <w:rFonts w:ascii="Times New Roman" w:hAnsi="Times New Roman" w:cs="Times New Roman"/>
          <w:sz w:val="24"/>
          <w:szCs w:val="24"/>
        </w:rPr>
        <w:t>z elfogadott bizonylatok összeg</w:t>
      </w:r>
      <w:r w:rsidR="00402CC6">
        <w:rPr>
          <w:rFonts w:ascii="Times New Roman" w:hAnsi="Times New Roman" w:cs="Times New Roman"/>
          <w:sz w:val="24"/>
          <w:szCs w:val="24"/>
        </w:rPr>
        <w:t>ét jelenti a</w:t>
      </w:r>
      <w:r w:rsidR="00C52A0E" w:rsidRPr="00C52A0E">
        <w:rPr>
          <w:rFonts w:ascii="Times New Roman" w:hAnsi="Times New Roman" w:cs="Times New Roman"/>
          <w:sz w:val="24"/>
          <w:szCs w:val="24"/>
        </w:rPr>
        <w:t xml:space="preserve"> követelések</w:t>
      </w:r>
      <w:r w:rsidR="00402CC6">
        <w:rPr>
          <w:rFonts w:ascii="Times New Roman" w:hAnsi="Times New Roman" w:cs="Times New Roman"/>
          <w:sz w:val="24"/>
          <w:szCs w:val="24"/>
        </w:rPr>
        <w:t xml:space="preserve"> értékév</w:t>
      </w:r>
      <w:r w:rsidR="00C52A0E" w:rsidRPr="00C52A0E">
        <w:rPr>
          <w:rFonts w:ascii="Times New Roman" w:hAnsi="Times New Roman" w:cs="Times New Roman"/>
          <w:sz w:val="24"/>
          <w:szCs w:val="24"/>
        </w:rPr>
        <w:t>el tisztítva.</w:t>
      </w:r>
    </w:p>
    <w:p w14:paraId="7B307086" w14:textId="77777777" w:rsidR="00093406" w:rsidRPr="00B241F5" w:rsidRDefault="00093406" w:rsidP="00093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C59BFA4" w14:textId="77777777" w:rsidR="00093406" w:rsidRPr="00C52A0E" w:rsidRDefault="00093406" w:rsidP="00093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A0E">
        <w:rPr>
          <w:rFonts w:ascii="Times New Roman" w:hAnsi="Times New Roman" w:cs="Times New Roman"/>
          <w:sz w:val="24"/>
          <w:szCs w:val="24"/>
        </w:rPr>
        <w:t>Fenntartásba eddig nem került támogatási kérelem.</w:t>
      </w:r>
    </w:p>
    <w:p w14:paraId="6A19ACE6" w14:textId="77777777" w:rsidR="00093406" w:rsidRPr="00B241F5" w:rsidRDefault="00093406" w:rsidP="00093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60AE7D7" w14:textId="77777777" w:rsidR="00093406" w:rsidRPr="00FB540A" w:rsidRDefault="00093406" w:rsidP="00093406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540A">
        <w:rPr>
          <w:rFonts w:ascii="Times New Roman" w:hAnsi="Times New Roman" w:cs="Times New Roman"/>
          <w:b/>
          <w:sz w:val="24"/>
          <w:szCs w:val="24"/>
        </w:rPr>
        <w:t xml:space="preserve">Költségnövekmények </w:t>
      </w:r>
    </w:p>
    <w:p w14:paraId="1B6D1FB7" w14:textId="77777777" w:rsidR="00093406" w:rsidRPr="00FB540A" w:rsidRDefault="00093406" w:rsidP="00093406">
      <w:pPr>
        <w:pStyle w:val="Listaszerbekezds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446665A7" w14:textId="17E92109" w:rsidR="00093406" w:rsidRPr="00FB540A" w:rsidRDefault="00093406" w:rsidP="00093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40A">
        <w:rPr>
          <w:rFonts w:ascii="Times New Roman" w:hAnsi="Times New Roman" w:cs="Times New Roman"/>
          <w:sz w:val="24"/>
          <w:szCs w:val="24"/>
        </w:rPr>
        <w:t xml:space="preserve">A TOP Plusz felhívások kapcsán 2025. </w:t>
      </w:r>
      <w:r w:rsidR="00FB540A" w:rsidRPr="00FB540A">
        <w:rPr>
          <w:rFonts w:ascii="Times New Roman" w:hAnsi="Times New Roman" w:cs="Times New Roman"/>
          <w:sz w:val="24"/>
          <w:szCs w:val="24"/>
        </w:rPr>
        <w:t>október</w:t>
      </w:r>
      <w:r w:rsidRPr="00FB540A">
        <w:rPr>
          <w:rFonts w:ascii="Times New Roman" w:hAnsi="Times New Roman" w:cs="Times New Roman"/>
          <w:sz w:val="24"/>
          <w:szCs w:val="24"/>
        </w:rPr>
        <w:t xml:space="preserve"> </w:t>
      </w:r>
      <w:r w:rsidR="00FB540A" w:rsidRPr="00FB540A">
        <w:rPr>
          <w:rFonts w:ascii="Times New Roman" w:hAnsi="Times New Roman" w:cs="Times New Roman"/>
          <w:sz w:val="24"/>
          <w:szCs w:val="24"/>
        </w:rPr>
        <w:t>22</w:t>
      </w:r>
      <w:r w:rsidRPr="00FB540A">
        <w:rPr>
          <w:rFonts w:ascii="Times New Roman" w:hAnsi="Times New Roman" w:cs="Times New Roman"/>
          <w:sz w:val="24"/>
          <w:szCs w:val="24"/>
        </w:rPr>
        <w:t xml:space="preserve">. napig </w:t>
      </w:r>
      <w:r w:rsidR="00FB540A" w:rsidRPr="00FB540A">
        <w:rPr>
          <w:rFonts w:ascii="Times New Roman" w:hAnsi="Times New Roman" w:cs="Times New Roman"/>
          <w:sz w:val="24"/>
          <w:szCs w:val="24"/>
        </w:rPr>
        <w:t>24</w:t>
      </w:r>
      <w:r w:rsidRPr="00FB540A">
        <w:rPr>
          <w:rFonts w:ascii="Times New Roman" w:hAnsi="Times New Roman" w:cs="Times New Roman"/>
          <w:sz w:val="24"/>
          <w:szCs w:val="24"/>
        </w:rPr>
        <w:t xml:space="preserve"> db költségnövekmény igény érkezett az Irányító Hatósághoz összesen 1</w:t>
      </w:r>
      <w:r w:rsidR="00FB540A" w:rsidRPr="00FB540A">
        <w:rPr>
          <w:rFonts w:ascii="Times New Roman" w:hAnsi="Times New Roman" w:cs="Times New Roman"/>
          <w:sz w:val="24"/>
          <w:szCs w:val="24"/>
        </w:rPr>
        <w:t> 705 106 492</w:t>
      </w:r>
      <w:r w:rsidRPr="00FB540A">
        <w:rPr>
          <w:rFonts w:ascii="Times New Roman" w:hAnsi="Times New Roman" w:cs="Times New Roman"/>
          <w:sz w:val="24"/>
          <w:szCs w:val="24"/>
        </w:rPr>
        <w:t xml:space="preserve"> Ft értékben, melyből 1 db igény került elfogadásra összesen 16 860 937 Ft értékben.</w:t>
      </w:r>
    </w:p>
    <w:p w14:paraId="27569E06" w14:textId="77777777" w:rsidR="00093406" w:rsidRPr="00FB540A" w:rsidRDefault="00093406" w:rsidP="00093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F9044D" w14:textId="77777777" w:rsidR="00093406" w:rsidRPr="00FB540A" w:rsidRDefault="00093406" w:rsidP="00093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40A">
        <w:rPr>
          <w:rFonts w:ascii="Times New Roman" w:hAnsi="Times New Roman" w:cs="Times New Roman"/>
          <w:sz w:val="24"/>
          <w:szCs w:val="24"/>
        </w:rPr>
        <w:t xml:space="preserve">A költségnövekmény igények </w:t>
      </w:r>
      <w:proofErr w:type="spellStart"/>
      <w:r w:rsidRPr="00FB540A">
        <w:rPr>
          <w:rFonts w:ascii="Times New Roman" w:hAnsi="Times New Roman" w:cs="Times New Roman"/>
          <w:sz w:val="24"/>
          <w:szCs w:val="24"/>
        </w:rPr>
        <w:t>prioritásonkénti</w:t>
      </w:r>
      <w:proofErr w:type="spellEnd"/>
      <w:r w:rsidRPr="00FB540A">
        <w:rPr>
          <w:rFonts w:ascii="Times New Roman" w:hAnsi="Times New Roman" w:cs="Times New Roman"/>
          <w:sz w:val="24"/>
          <w:szCs w:val="24"/>
        </w:rPr>
        <w:t xml:space="preserve"> megoszlását az alábbi táblázat foglalja össze:</w:t>
      </w:r>
    </w:p>
    <w:p w14:paraId="2C26D9B0" w14:textId="77777777" w:rsidR="00093406" w:rsidRPr="00FB540A" w:rsidRDefault="00093406" w:rsidP="00093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070"/>
        <w:gridCol w:w="1727"/>
        <w:gridCol w:w="1514"/>
        <w:gridCol w:w="1948"/>
        <w:gridCol w:w="1801"/>
      </w:tblGrid>
      <w:tr w:rsidR="00093406" w:rsidRPr="00FB540A" w14:paraId="6F0DDF6B" w14:textId="77777777" w:rsidTr="001E4167">
        <w:trPr>
          <w:jc w:val="center"/>
        </w:trPr>
        <w:tc>
          <w:tcPr>
            <w:tcW w:w="2070" w:type="dxa"/>
          </w:tcPr>
          <w:p w14:paraId="6979F500" w14:textId="77777777" w:rsidR="00093406" w:rsidRPr="00FB540A" w:rsidRDefault="00093406" w:rsidP="001E4167">
            <w:pPr>
              <w:jc w:val="center"/>
              <w:rPr>
                <w:b/>
                <w:bCs/>
                <w:sz w:val="22"/>
                <w:szCs w:val="22"/>
              </w:rPr>
            </w:pPr>
            <w:r w:rsidRPr="00FB540A">
              <w:rPr>
                <w:b/>
                <w:bCs/>
                <w:sz w:val="22"/>
                <w:szCs w:val="22"/>
              </w:rPr>
              <w:t>Prioritás száma:</w:t>
            </w:r>
          </w:p>
        </w:tc>
        <w:tc>
          <w:tcPr>
            <w:tcW w:w="1727" w:type="dxa"/>
          </w:tcPr>
          <w:p w14:paraId="06B8E675" w14:textId="77777777" w:rsidR="00093406" w:rsidRPr="00FB540A" w:rsidRDefault="00093406" w:rsidP="001E4167">
            <w:pPr>
              <w:jc w:val="center"/>
              <w:rPr>
                <w:b/>
                <w:bCs/>
                <w:sz w:val="22"/>
                <w:szCs w:val="22"/>
              </w:rPr>
            </w:pPr>
            <w:r w:rsidRPr="00FB540A">
              <w:rPr>
                <w:b/>
                <w:bCs/>
                <w:sz w:val="22"/>
                <w:szCs w:val="22"/>
              </w:rPr>
              <w:t>Beérkezett igények száma (db):</w:t>
            </w:r>
          </w:p>
        </w:tc>
        <w:tc>
          <w:tcPr>
            <w:tcW w:w="1514" w:type="dxa"/>
          </w:tcPr>
          <w:p w14:paraId="7E6DC7BA" w14:textId="77777777" w:rsidR="00093406" w:rsidRPr="00FB540A" w:rsidRDefault="00093406" w:rsidP="001E4167">
            <w:pPr>
              <w:jc w:val="center"/>
              <w:rPr>
                <w:b/>
                <w:bCs/>
                <w:sz w:val="22"/>
                <w:szCs w:val="22"/>
              </w:rPr>
            </w:pPr>
            <w:r w:rsidRPr="00FB540A">
              <w:rPr>
                <w:b/>
                <w:bCs/>
                <w:sz w:val="22"/>
                <w:szCs w:val="22"/>
              </w:rPr>
              <w:t>Elfogadott igények száma (db):</w:t>
            </w:r>
          </w:p>
        </w:tc>
        <w:tc>
          <w:tcPr>
            <w:tcW w:w="1948" w:type="dxa"/>
          </w:tcPr>
          <w:p w14:paraId="549437BC" w14:textId="77777777" w:rsidR="00093406" w:rsidRPr="00FB540A" w:rsidRDefault="00093406" w:rsidP="001E4167">
            <w:pPr>
              <w:jc w:val="center"/>
              <w:rPr>
                <w:b/>
                <w:bCs/>
                <w:sz w:val="22"/>
                <w:szCs w:val="22"/>
              </w:rPr>
            </w:pPr>
            <w:r w:rsidRPr="00FB540A">
              <w:rPr>
                <w:b/>
                <w:bCs/>
                <w:sz w:val="22"/>
                <w:szCs w:val="22"/>
              </w:rPr>
              <w:t>Elfogadott TOP növekmény (Ft):</w:t>
            </w:r>
          </w:p>
        </w:tc>
        <w:tc>
          <w:tcPr>
            <w:tcW w:w="1801" w:type="dxa"/>
          </w:tcPr>
          <w:p w14:paraId="552B093A" w14:textId="77777777" w:rsidR="00093406" w:rsidRPr="00FB540A" w:rsidRDefault="00093406" w:rsidP="001E4167">
            <w:pPr>
              <w:jc w:val="center"/>
              <w:rPr>
                <w:b/>
                <w:bCs/>
                <w:sz w:val="22"/>
                <w:szCs w:val="22"/>
              </w:rPr>
            </w:pPr>
            <w:r w:rsidRPr="00FB540A">
              <w:rPr>
                <w:b/>
                <w:bCs/>
                <w:sz w:val="22"/>
                <w:szCs w:val="22"/>
              </w:rPr>
              <w:t>Igényelt összeg XIX. fejezet (Ft):</w:t>
            </w:r>
          </w:p>
        </w:tc>
      </w:tr>
      <w:tr w:rsidR="00093406" w:rsidRPr="00FB540A" w14:paraId="37FFD9DA" w14:textId="77777777" w:rsidTr="001E4167">
        <w:trPr>
          <w:jc w:val="center"/>
        </w:trPr>
        <w:tc>
          <w:tcPr>
            <w:tcW w:w="2070" w:type="dxa"/>
          </w:tcPr>
          <w:p w14:paraId="0240F48D" w14:textId="77777777" w:rsidR="00093406" w:rsidRPr="00FB540A" w:rsidRDefault="00093406" w:rsidP="001E4167">
            <w:r w:rsidRPr="00FB540A">
              <w:t>1.prioritás</w:t>
            </w:r>
          </w:p>
        </w:tc>
        <w:tc>
          <w:tcPr>
            <w:tcW w:w="1727" w:type="dxa"/>
            <w:vAlign w:val="center"/>
          </w:tcPr>
          <w:p w14:paraId="10F26F43" w14:textId="3F638E5D" w:rsidR="00093406" w:rsidRPr="00FB540A" w:rsidRDefault="00FB540A" w:rsidP="001E4167">
            <w:pPr>
              <w:jc w:val="center"/>
              <w:rPr>
                <w:sz w:val="22"/>
                <w:szCs w:val="22"/>
              </w:rPr>
            </w:pPr>
            <w:r w:rsidRPr="00FB540A">
              <w:rPr>
                <w:sz w:val="22"/>
                <w:szCs w:val="22"/>
              </w:rPr>
              <w:t>15</w:t>
            </w:r>
          </w:p>
        </w:tc>
        <w:tc>
          <w:tcPr>
            <w:tcW w:w="1514" w:type="dxa"/>
            <w:vAlign w:val="center"/>
          </w:tcPr>
          <w:p w14:paraId="3FA30CFF" w14:textId="77777777" w:rsidR="00093406" w:rsidRPr="00FB540A" w:rsidRDefault="00093406" w:rsidP="001E4167">
            <w:pPr>
              <w:jc w:val="center"/>
              <w:rPr>
                <w:sz w:val="22"/>
                <w:szCs w:val="22"/>
              </w:rPr>
            </w:pPr>
            <w:r w:rsidRPr="00FB540A">
              <w:rPr>
                <w:sz w:val="22"/>
                <w:szCs w:val="22"/>
              </w:rPr>
              <w:t>0</w:t>
            </w:r>
          </w:p>
        </w:tc>
        <w:tc>
          <w:tcPr>
            <w:tcW w:w="1948" w:type="dxa"/>
            <w:vAlign w:val="center"/>
          </w:tcPr>
          <w:p w14:paraId="6D367132" w14:textId="77777777" w:rsidR="00093406" w:rsidRPr="00FB540A" w:rsidRDefault="00093406" w:rsidP="001E4167">
            <w:pPr>
              <w:jc w:val="center"/>
              <w:rPr>
                <w:sz w:val="22"/>
                <w:szCs w:val="22"/>
              </w:rPr>
            </w:pPr>
            <w:r w:rsidRPr="00FB540A">
              <w:rPr>
                <w:sz w:val="22"/>
                <w:szCs w:val="22"/>
              </w:rPr>
              <w:t>0</w:t>
            </w:r>
          </w:p>
        </w:tc>
        <w:tc>
          <w:tcPr>
            <w:tcW w:w="1801" w:type="dxa"/>
            <w:vAlign w:val="center"/>
          </w:tcPr>
          <w:p w14:paraId="5CA16DD8" w14:textId="77777777" w:rsidR="00093406" w:rsidRPr="00FB540A" w:rsidRDefault="00093406" w:rsidP="001E4167">
            <w:pPr>
              <w:pStyle w:val="Listaszerbekezds"/>
            </w:pPr>
            <w:r w:rsidRPr="00FB540A">
              <w:t>0</w:t>
            </w:r>
          </w:p>
        </w:tc>
      </w:tr>
      <w:tr w:rsidR="00093406" w:rsidRPr="00FB540A" w14:paraId="70BCD49B" w14:textId="77777777" w:rsidTr="001E4167">
        <w:trPr>
          <w:jc w:val="center"/>
        </w:trPr>
        <w:tc>
          <w:tcPr>
            <w:tcW w:w="2070" w:type="dxa"/>
          </w:tcPr>
          <w:p w14:paraId="6D5546A0" w14:textId="77777777" w:rsidR="00093406" w:rsidRPr="00FB540A" w:rsidRDefault="00093406" w:rsidP="001E4167">
            <w:r w:rsidRPr="00FB540A">
              <w:t>2. prioritás</w:t>
            </w:r>
          </w:p>
        </w:tc>
        <w:tc>
          <w:tcPr>
            <w:tcW w:w="1727" w:type="dxa"/>
            <w:vAlign w:val="center"/>
          </w:tcPr>
          <w:p w14:paraId="7B835E6F" w14:textId="77777777" w:rsidR="00093406" w:rsidRPr="00FB540A" w:rsidRDefault="00093406" w:rsidP="001E4167">
            <w:pPr>
              <w:jc w:val="center"/>
              <w:rPr>
                <w:sz w:val="22"/>
                <w:szCs w:val="22"/>
              </w:rPr>
            </w:pPr>
            <w:r w:rsidRPr="00FB540A">
              <w:rPr>
                <w:sz w:val="22"/>
                <w:szCs w:val="22"/>
              </w:rPr>
              <w:t>4</w:t>
            </w:r>
          </w:p>
        </w:tc>
        <w:tc>
          <w:tcPr>
            <w:tcW w:w="1514" w:type="dxa"/>
            <w:vAlign w:val="center"/>
          </w:tcPr>
          <w:p w14:paraId="79CAC155" w14:textId="77777777" w:rsidR="00093406" w:rsidRPr="00FB540A" w:rsidRDefault="00093406" w:rsidP="001E4167">
            <w:pPr>
              <w:jc w:val="center"/>
              <w:rPr>
                <w:sz w:val="22"/>
                <w:szCs w:val="22"/>
              </w:rPr>
            </w:pPr>
            <w:r w:rsidRPr="00FB540A">
              <w:rPr>
                <w:sz w:val="22"/>
                <w:szCs w:val="22"/>
              </w:rPr>
              <w:t>1</w:t>
            </w:r>
          </w:p>
        </w:tc>
        <w:tc>
          <w:tcPr>
            <w:tcW w:w="1948" w:type="dxa"/>
            <w:vAlign w:val="center"/>
          </w:tcPr>
          <w:p w14:paraId="7267C134" w14:textId="77777777" w:rsidR="00093406" w:rsidRPr="00FB540A" w:rsidRDefault="00093406" w:rsidP="001E4167">
            <w:pPr>
              <w:jc w:val="center"/>
              <w:rPr>
                <w:sz w:val="22"/>
                <w:szCs w:val="22"/>
              </w:rPr>
            </w:pPr>
            <w:r w:rsidRPr="00FB540A">
              <w:rPr>
                <w:sz w:val="22"/>
                <w:szCs w:val="22"/>
              </w:rPr>
              <w:t>16 860 937</w:t>
            </w:r>
          </w:p>
        </w:tc>
        <w:tc>
          <w:tcPr>
            <w:tcW w:w="1801" w:type="dxa"/>
            <w:vAlign w:val="center"/>
          </w:tcPr>
          <w:p w14:paraId="116BD451" w14:textId="77777777" w:rsidR="00093406" w:rsidRPr="00FB540A" w:rsidRDefault="00093406" w:rsidP="001E4167">
            <w:pPr>
              <w:pStyle w:val="Listaszerbekezds"/>
            </w:pPr>
            <w:r w:rsidRPr="00FB540A">
              <w:t>0</w:t>
            </w:r>
          </w:p>
        </w:tc>
      </w:tr>
      <w:tr w:rsidR="00093406" w:rsidRPr="00FB540A" w14:paraId="75228E59" w14:textId="77777777" w:rsidTr="001E4167">
        <w:trPr>
          <w:jc w:val="center"/>
        </w:trPr>
        <w:tc>
          <w:tcPr>
            <w:tcW w:w="2070" w:type="dxa"/>
          </w:tcPr>
          <w:p w14:paraId="17352C75" w14:textId="77777777" w:rsidR="00093406" w:rsidRPr="00FB540A" w:rsidRDefault="00093406" w:rsidP="001E4167">
            <w:r w:rsidRPr="00FB540A">
              <w:t>3. prioritás</w:t>
            </w:r>
          </w:p>
        </w:tc>
        <w:tc>
          <w:tcPr>
            <w:tcW w:w="1727" w:type="dxa"/>
            <w:vAlign w:val="center"/>
          </w:tcPr>
          <w:p w14:paraId="6DF73894" w14:textId="25DE617A" w:rsidR="00093406" w:rsidRPr="00FB540A" w:rsidRDefault="00FB540A" w:rsidP="001E4167">
            <w:pPr>
              <w:jc w:val="center"/>
              <w:rPr>
                <w:sz w:val="22"/>
                <w:szCs w:val="22"/>
              </w:rPr>
            </w:pPr>
            <w:r w:rsidRPr="00FB540A">
              <w:rPr>
                <w:sz w:val="22"/>
                <w:szCs w:val="22"/>
              </w:rPr>
              <w:t>5</w:t>
            </w:r>
          </w:p>
        </w:tc>
        <w:tc>
          <w:tcPr>
            <w:tcW w:w="1514" w:type="dxa"/>
            <w:vAlign w:val="center"/>
          </w:tcPr>
          <w:p w14:paraId="404268D2" w14:textId="77777777" w:rsidR="00093406" w:rsidRPr="00FB540A" w:rsidRDefault="00093406" w:rsidP="001E4167">
            <w:pPr>
              <w:jc w:val="center"/>
              <w:rPr>
                <w:sz w:val="22"/>
                <w:szCs w:val="22"/>
              </w:rPr>
            </w:pPr>
            <w:r w:rsidRPr="00FB540A">
              <w:rPr>
                <w:sz w:val="22"/>
                <w:szCs w:val="22"/>
              </w:rPr>
              <w:t>0</w:t>
            </w:r>
          </w:p>
        </w:tc>
        <w:tc>
          <w:tcPr>
            <w:tcW w:w="1948" w:type="dxa"/>
            <w:vAlign w:val="center"/>
          </w:tcPr>
          <w:p w14:paraId="4EBC1F39" w14:textId="77777777" w:rsidR="00093406" w:rsidRPr="00FB540A" w:rsidRDefault="00093406" w:rsidP="001E4167">
            <w:pPr>
              <w:pStyle w:val="Listaszerbekezds"/>
            </w:pPr>
            <w:r w:rsidRPr="00FB540A">
              <w:rPr>
                <w:sz w:val="22"/>
                <w:szCs w:val="22"/>
              </w:rPr>
              <w:t xml:space="preserve"> 0</w:t>
            </w:r>
          </w:p>
        </w:tc>
        <w:tc>
          <w:tcPr>
            <w:tcW w:w="1801" w:type="dxa"/>
            <w:vAlign w:val="center"/>
          </w:tcPr>
          <w:p w14:paraId="2206ACDE" w14:textId="77777777" w:rsidR="00093406" w:rsidRPr="00FB540A" w:rsidRDefault="00093406" w:rsidP="001E4167">
            <w:pPr>
              <w:jc w:val="center"/>
              <w:rPr>
                <w:strike/>
                <w:sz w:val="22"/>
                <w:szCs w:val="22"/>
              </w:rPr>
            </w:pPr>
            <w:r w:rsidRPr="00FB540A">
              <w:rPr>
                <w:sz w:val="22"/>
                <w:szCs w:val="22"/>
              </w:rPr>
              <w:t>0</w:t>
            </w:r>
          </w:p>
        </w:tc>
      </w:tr>
      <w:tr w:rsidR="00093406" w:rsidRPr="00FB540A" w14:paraId="3589156E" w14:textId="77777777" w:rsidTr="001E4167">
        <w:trPr>
          <w:trHeight w:val="61"/>
          <w:jc w:val="center"/>
        </w:trPr>
        <w:tc>
          <w:tcPr>
            <w:tcW w:w="2070" w:type="dxa"/>
          </w:tcPr>
          <w:p w14:paraId="49BBD408" w14:textId="77777777" w:rsidR="00093406" w:rsidRPr="00FB540A" w:rsidRDefault="00093406" w:rsidP="001E4167">
            <w:r w:rsidRPr="00FB540A">
              <w:t>6. prioritás</w:t>
            </w:r>
          </w:p>
        </w:tc>
        <w:tc>
          <w:tcPr>
            <w:tcW w:w="1727" w:type="dxa"/>
            <w:vAlign w:val="center"/>
          </w:tcPr>
          <w:p w14:paraId="45C21FBB" w14:textId="77777777" w:rsidR="00093406" w:rsidRPr="00FB540A" w:rsidRDefault="00093406" w:rsidP="001E4167">
            <w:pPr>
              <w:jc w:val="center"/>
              <w:rPr>
                <w:sz w:val="22"/>
                <w:szCs w:val="22"/>
              </w:rPr>
            </w:pPr>
            <w:r w:rsidRPr="00FB540A">
              <w:rPr>
                <w:sz w:val="22"/>
                <w:szCs w:val="22"/>
              </w:rPr>
              <w:t>0</w:t>
            </w:r>
          </w:p>
        </w:tc>
        <w:tc>
          <w:tcPr>
            <w:tcW w:w="1514" w:type="dxa"/>
            <w:vAlign w:val="center"/>
          </w:tcPr>
          <w:p w14:paraId="43482732" w14:textId="77777777" w:rsidR="00093406" w:rsidRPr="00FB540A" w:rsidRDefault="00093406" w:rsidP="001E4167">
            <w:pPr>
              <w:jc w:val="center"/>
              <w:rPr>
                <w:sz w:val="22"/>
                <w:szCs w:val="22"/>
              </w:rPr>
            </w:pPr>
            <w:r w:rsidRPr="00FB540A">
              <w:rPr>
                <w:sz w:val="22"/>
                <w:szCs w:val="22"/>
              </w:rPr>
              <w:t>0</w:t>
            </w:r>
          </w:p>
        </w:tc>
        <w:tc>
          <w:tcPr>
            <w:tcW w:w="1948" w:type="dxa"/>
            <w:vAlign w:val="center"/>
          </w:tcPr>
          <w:p w14:paraId="42146FF9" w14:textId="77777777" w:rsidR="00093406" w:rsidRPr="00FB540A" w:rsidRDefault="00093406" w:rsidP="001E4167">
            <w:pPr>
              <w:jc w:val="center"/>
              <w:rPr>
                <w:sz w:val="22"/>
                <w:szCs w:val="22"/>
              </w:rPr>
            </w:pPr>
            <w:r w:rsidRPr="00FB540A">
              <w:rPr>
                <w:sz w:val="22"/>
                <w:szCs w:val="22"/>
              </w:rPr>
              <w:t>0</w:t>
            </w:r>
          </w:p>
        </w:tc>
        <w:tc>
          <w:tcPr>
            <w:tcW w:w="1801" w:type="dxa"/>
            <w:vAlign w:val="center"/>
          </w:tcPr>
          <w:p w14:paraId="25186FE3" w14:textId="77777777" w:rsidR="00093406" w:rsidRPr="00FB540A" w:rsidRDefault="00093406" w:rsidP="001E4167">
            <w:pPr>
              <w:jc w:val="center"/>
              <w:rPr>
                <w:sz w:val="22"/>
                <w:szCs w:val="22"/>
              </w:rPr>
            </w:pPr>
            <w:r w:rsidRPr="00FB540A">
              <w:rPr>
                <w:sz w:val="22"/>
                <w:szCs w:val="22"/>
              </w:rPr>
              <w:t>0</w:t>
            </w:r>
          </w:p>
        </w:tc>
      </w:tr>
      <w:tr w:rsidR="00093406" w:rsidRPr="00FB540A" w14:paraId="49A6FF68" w14:textId="77777777" w:rsidTr="001E4167">
        <w:trPr>
          <w:jc w:val="center"/>
        </w:trPr>
        <w:tc>
          <w:tcPr>
            <w:tcW w:w="2070" w:type="dxa"/>
          </w:tcPr>
          <w:p w14:paraId="6707FF1D" w14:textId="77777777" w:rsidR="00093406" w:rsidRPr="00FB540A" w:rsidRDefault="00093406" w:rsidP="001E4167">
            <w:pPr>
              <w:jc w:val="center"/>
              <w:rPr>
                <w:b/>
                <w:bCs/>
                <w:sz w:val="22"/>
                <w:szCs w:val="22"/>
              </w:rPr>
            </w:pPr>
            <w:r w:rsidRPr="00FB540A">
              <w:rPr>
                <w:b/>
                <w:bCs/>
                <w:sz w:val="22"/>
                <w:szCs w:val="22"/>
              </w:rPr>
              <w:t>Összesen:</w:t>
            </w:r>
          </w:p>
        </w:tc>
        <w:tc>
          <w:tcPr>
            <w:tcW w:w="1727" w:type="dxa"/>
            <w:vAlign w:val="center"/>
          </w:tcPr>
          <w:p w14:paraId="38D2F9CA" w14:textId="4737E77E" w:rsidR="00093406" w:rsidRPr="00FB540A" w:rsidRDefault="00FB540A" w:rsidP="001E4167">
            <w:pPr>
              <w:jc w:val="center"/>
              <w:rPr>
                <w:b/>
                <w:bCs/>
                <w:sz w:val="22"/>
                <w:szCs w:val="22"/>
              </w:rPr>
            </w:pPr>
            <w:r w:rsidRPr="00FB540A">
              <w:rPr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1514" w:type="dxa"/>
            <w:vAlign w:val="center"/>
          </w:tcPr>
          <w:p w14:paraId="10C596B3" w14:textId="77777777" w:rsidR="00093406" w:rsidRPr="00FB540A" w:rsidRDefault="00093406" w:rsidP="001E4167">
            <w:pPr>
              <w:jc w:val="center"/>
              <w:rPr>
                <w:b/>
                <w:bCs/>
                <w:sz w:val="22"/>
                <w:szCs w:val="22"/>
              </w:rPr>
            </w:pPr>
            <w:r w:rsidRPr="00FB540A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48" w:type="dxa"/>
            <w:vAlign w:val="center"/>
          </w:tcPr>
          <w:p w14:paraId="0732FC1D" w14:textId="77777777" w:rsidR="00093406" w:rsidRPr="00FB540A" w:rsidRDefault="00093406" w:rsidP="001E4167">
            <w:pPr>
              <w:jc w:val="center"/>
              <w:rPr>
                <w:b/>
                <w:bCs/>
                <w:sz w:val="22"/>
                <w:szCs w:val="22"/>
              </w:rPr>
            </w:pPr>
            <w:r w:rsidRPr="00FB540A">
              <w:rPr>
                <w:b/>
                <w:bCs/>
                <w:sz w:val="22"/>
                <w:szCs w:val="22"/>
              </w:rPr>
              <w:t>16 860 937</w:t>
            </w:r>
          </w:p>
        </w:tc>
        <w:tc>
          <w:tcPr>
            <w:tcW w:w="1801" w:type="dxa"/>
            <w:vAlign w:val="center"/>
          </w:tcPr>
          <w:p w14:paraId="49FEA905" w14:textId="77777777" w:rsidR="00093406" w:rsidRPr="00FB540A" w:rsidRDefault="00093406" w:rsidP="001E4167">
            <w:pPr>
              <w:jc w:val="center"/>
              <w:rPr>
                <w:b/>
                <w:bCs/>
                <w:sz w:val="22"/>
                <w:szCs w:val="22"/>
              </w:rPr>
            </w:pPr>
            <w:r w:rsidRPr="00FB540A">
              <w:rPr>
                <w:b/>
                <w:bCs/>
                <w:sz w:val="22"/>
                <w:szCs w:val="22"/>
              </w:rPr>
              <w:t>0</w:t>
            </w:r>
          </w:p>
        </w:tc>
      </w:tr>
    </w:tbl>
    <w:p w14:paraId="26A10369" w14:textId="77777777" w:rsidR="00093406" w:rsidRPr="00FB540A" w:rsidRDefault="00093406" w:rsidP="00093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0CA9B1" w14:textId="77777777" w:rsidR="00093406" w:rsidRPr="00FB540A" w:rsidRDefault="00093406" w:rsidP="00093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40A">
        <w:rPr>
          <w:rFonts w:ascii="Times New Roman" w:hAnsi="Times New Roman" w:cs="Times New Roman"/>
          <w:sz w:val="24"/>
          <w:szCs w:val="24"/>
        </w:rPr>
        <w:t>Kérem a közgyűlést a Hajdú-Bihar Vármegye Önkormányzata 2021-2027-es időszakra vonatkozó Integrált Területi Programjának végrehajtásáról szóló tájékoztató elfogadására.</w:t>
      </w:r>
    </w:p>
    <w:p w14:paraId="22D696E9" w14:textId="77777777" w:rsidR="00093406" w:rsidRPr="00B241F5" w:rsidRDefault="00093406" w:rsidP="00093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D68378C" w14:textId="77777777" w:rsidR="00093406" w:rsidRPr="00B241F5" w:rsidRDefault="00093406" w:rsidP="00093406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B241F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HATÁROZATI JAVASLAT</w:t>
      </w:r>
    </w:p>
    <w:p w14:paraId="4227B39A" w14:textId="77777777" w:rsidR="00093406" w:rsidRPr="00B241F5" w:rsidRDefault="00093406" w:rsidP="000934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41F5">
        <w:rPr>
          <w:rFonts w:ascii="Times New Roman" w:eastAsia="Calibri" w:hAnsi="Times New Roman" w:cs="Times New Roman"/>
          <w:sz w:val="24"/>
          <w:szCs w:val="24"/>
        </w:rPr>
        <w:t xml:space="preserve">Hajdú-Bihar Vármegye Önkormányzata Közgyűlése a területfejlesztésről szóló 2023. évi CII. törvény 10. § (2) bekezdés a) és c) pontjai, valamint a 2021-2027 programozási időszakban az egyes európai uniós alapokból származó támogatások felhasználásának rendjéről szóló 256/2021. (V. 18.) Korm. rendelet 29. § (1) bekezdés f) pontja alapján, figyelemmel a Hajdú-Bihar Vármegye Önkormányzata Közgyűlése és Szervei Szervezeti és Működési Szabályzatáról szóló 4/2023. (IV. 3.) önkormányzati rendelet 18. § (1) bekezdés c) pontjára </w:t>
      </w:r>
    </w:p>
    <w:p w14:paraId="0821E833" w14:textId="77777777" w:rsidR="00093406" w:rsidRPr="00B241F5" w:rsidRDefault="00093406" w:rsidP="000934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7D5AA6C" w14:textId="77777777" w:rsidR="00093406" w:rsidRPr="00B241F5" w:rsidRDefault="00093406" w:rsidP="00093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1F5">
        <w:rPr>
          <w:rFonts w:ascii="Times New Roman" w:hAnsi="Times New Roman" w:cs="Times New Roman"/>
          <w:sz w:val="24"/>
          <w:szCs w:val="24"/>
        </w:rPr>
        <w:t xml:space="preserve">elfogadja a Hajdú-Bihar Vármegye Önkormányzata 2021-2027 közötti időszakra vonatkozó Integrált Területi Programjának végrehajtásáról szóló tájékoztatót. </w:t>
      </w:r>
    </w:p>
    <w:p w14:paraId="7AF7A60E" w14:textId="77777777" w:rsidR="00093406" w:rsidRPr="00B241F5" w:rsidRDefault="00093406" w:rsidP="00093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AA6977" w14:textId="77777777" w:rsidR="00093406" w:rsidRPr="00B241F5" w:rsidRDefault="00093406" w:rsidP="00093406">
      <w:pPr>
        <w:rPr>
          <w:rFonts w:ascii="Times New Roman" w:hAnsi="Times New Roman" w:cs="Times New Roman"/>
          <w:b/>
          <w:sz w:val="24"/>
          <w:szCs w:val="24"/>
        </w:rPr>
      </w:pPr>
      <w:r w:rsidRPr="00B241F5">
        <w:rPr>
          <w:rFonts w:ascii="Times New Roman" w:hAnsi="Times New Roman" w:cs="Times New Roman"/>
          <w:b/>
          <w:sz w:val="24"/>
          <w:szCs w:val="24"/>
        </w:rPr>
        <w:t>A határozati javaslat elfogadása egyszerű többséget igényel.</w:t>
      </w:r>
    </w:p>
    <w:p w14:paraId="699CAFCD" w14:textId="3356F183" w:rsidR="00093406" w:rsidRPr="00EA6A43" w:rsidRDefault="00093406" w:rsidP="0009340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41F5">
        <w:rPr>
          <w:rFonts w:ascii="Times New Roman" w:hAnsi="Times New Roman" w:cs="Times New Roman"/>
          <w:bCs/>
          <w:sz w:val="24"/>
          <w:szCs w:val="24"/>
        </w:rPr>
        <w:t xml:space="preserve">Debrecen, 2025. </w:t>
      </w:r>
      <w:r w:rsidR="00B241F5" w:rsidRPr="00EA6A43">
        <w:rPr>
          <w:rFonts w:ascii="Times New Roman" w:hAnsi="Times New Roman" w:cs="Times New Roman"/>
          <w:bCs/>
          <w:sz w:val="24"/>
          <w:szCs w:val="24"/>
        </w:rPr>
        <w:t xml:space="preserve">december </w:t>
      </w:r>
      <w:r w:rsidR="00402CC6" w:rsidRPr="00EA6A43">
        <w:rPr>
          <w:rFonts w:ascii="Times New Roman" w:hAnsi="Times New Roman" w:cs="Times New Roman"/>
          <w:bCs/>
          <w:sz w:val="24"/>
          <w:szCs w:val="24"/>
        </w:rPr>
        <w:t>5</w:t>
      </w:r>
      <w:r w:rsidR="00B241F5" w:rsidRPr="00EA6A43">
        <w:rPr>
          <w:rFonts w:ascii="Times New Roman" w:hAnsi="Times New Roman" w:cs="Times New Roman"/>
          <w:bCs/>
          <w:sz w:val="24"/>
          <w:szCs w:val="24"/>
        </w:rPr>
        <w:t>.</w:t>
      </w:r>
    </w:p>
    <w:p w14:paraId="3B1146CE" w14:textId="77777777" w:rsidR="00093406" w:rsidRPr="00B241F5" w:rsidRDefault="00093406" w:rsidP="0009340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41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241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241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241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241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241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241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241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241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241F5">
        <w:rPr>
          <w:rFonts w:ascii="Times New Roman" w:hAnsi="Times New Roman" w:cs="Times New Roman"/>
          <w:b/>
          <w:bCs/>
          <w:sz w:val="24"/>
          <w:szCs w:val="24"/>
        </w:rPr>
        <w:tab/>
        <w:t>Pajna Zoltán</w:t>
      </w:r>
    </w:p>
    <w:p w14:paraId="20D625EE" w14:textId="77777777" w:rsidR="00093406" w:rsidRPr="00B241F5" w:rsidRDefault="00093406" w:rsidP="0009340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41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241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241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241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241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241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241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241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241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241F5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elnök</w:t>
      </w:r>
    </w:p>
    <w:p w14:paraId="5279CDD0" w14:textId="77777777" w:rsidR="00093406" w:rsidRPr="00B241F5" w:rsidRDefault="00093406" w:rsidP="00093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1F5">
        <w:rPr>
          <w:rFonts w:ascii="Times New Roman" w:hAnsi="Times New Roman" w:cs="Times New Roman"/>
          <w:sz w:val="24"/>
          <w:szCs w:val="24"/>
        </w:rPr>
        <w:t>Az előterjesztés a törvényességi követelményeknek megfelel:</w:t>
      </w:r>
    </w:p>
    <w:p w14:paraId="25D980CD" w14:textId="77777777" w:rsidR="00093406" w:rsidRPr="00B241F5" w:rsidRDefault="00093406" w:rsidP="00093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2F02F4" w14:textId="77777777" w:rsidR="00093406" w:rsidRPr="00B241F5" w:rsidRDefault="00093406" w:rsidP="00093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1F5">
        <w:rPr>
          <w:rFonts w:ascii="Times New Roman" w:hAnsi="Times New Roman" w:cs="Times New Roman"/>
          <w:sz w:val="24"/>
          <w:szCs w:val="24"/>
        </w:rPr>
        <w:t>Dr. Dobi Csaba</w:t>
      </w:r>
    </w:p>
    <w:p w14:paraId="5ED33DC8" w14:textId="556E3B7C" w:rsidR="003B4156" w:rsidRDefault="00093406" w:rsidP="00EA6A43">
      <w:pPr>
        <w:spacing w:after="0" w:line="240" w:lineRule="auto"/>
        <w:jc w:val="both"/>
      </w:pPr>
      <w:r w:rsidRPr="00B241F5">
        <w:rPr>
          <w:rFonts w:ascii="Times New Roman" w:hAnsi="Times New Roman" w:cs="Times New Roman"/>
          <w:sz w:val="24"/>
          <w:szCs w:val="24"/>
        </w:rPr>
        <w:t xml:space="preserve">      jegyző</w:t>
      </w:r>
    </w:p>
    <w:sectPr w:rsidR="003B4156" w:rsidSect="00093406">
      <w:pgSz w:w="11906" w:h="16838"/>
      <w:pgMar w:top="851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D20F8" w14:textId="77777777" w:rsidR="00B36A7D" w:rsidRDefault="00B36A7D">
      <w:pPr>
        <w:spacing w:after="0" w:line="240" w:lineRule="auto"/>
      </w:pPr>
      <w:r>
        <w:separator/>
      </w:r>
    </w:p>
  </w:endnote>
  <w:endnote w:type="continuationSeparator" w:id="0">
    <w:p w14:paraId="244420C8" w14:textId="77777777" w:rsidR="00B36A7D" w:rsidRDefault="00B36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2538724"/>
      <w:docPartObj>
        <w:docPartGallery w:val="Page Numbers (Bottom of Page)"/>
        <w:docPartUnique/>
      </w:docPartObj>
    </w:sdtPr>
    <w:sdtEndPr/>
    <w:sdtContent>
      <w:p w14:paraId="3E53FB5E" w14:textId="77777777" w:rsidR="00093406" w:rsidRDefault="00093406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DF153F" w14:textId="77777777" w:rsidR="00093406" w:rsidRDefault="0009340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6961239"/>
      <w:docPartObj>
        <w:docPartGallery w:val="Page Numbers (Bottom of Page)"/>
        <w:docPartUnique/>
      </w:docPartObj>
    </w:sdtPr>
    <w:sdtEndPr/>
    <w:sdtContent>
      <w:p w14:paraId="34E5E4BC" w14:textId="77777777" w:rsidR="00093406" w:rsidRDefault="00093406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84C42E" w14:textId="77777777" w:rsidR="00093406" w:rsidRDefault="0009340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02C55" w14:textId="77777777" w:rsidR="00B36A7D" w:rsidRDefault="00B36A7D">
      <w:pPr>
        <w:spacing w:after="0" w:line="240" w:lineRule="auto"/>
      </w:pPr>
      <w:r>
        <w:separator/>
      </w:r>
    </w:p>
  </w:footnote>
  <w:footnote w:type="continuationSeparator" w:id="0">
    <w:p w14:paraId="398491F8" w14:textId="77777777" w:rsidR="00B36A7D" w:rsidRDefault="00B36A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C6E436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DD45AB"/>
    <w:multiLevelType w:val="hybridMultilevel"/>
    <w:tmpl w:val="E752E7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35E5D"/>
    <w:multiLevelType w:val="hybridMultilevel"/>
    <w:tmpl w:val="B07298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0230F"/>
    <w:multiLevelType w:val="hybridMultilevel"/>
    <w:tmpl w:val="D53AA1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64A83"/>
    <w:multiLevelType w:val="hybridMultilevel"/>
    <w:tmpl w:val="C434BAF8"/>
    <w:lvl w:ilvl="0" w:tplc="7946F572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6A22B8"/>
    <w:multiLevelType w:val="hybridMultilevel"/>
    <w:tmpl w:val="7D885E42"/>
    <w:lvl w:ilvl="0" w:tplc="7254737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0A6F6C"/>
    <w:multiLevelType w:val="hybridMultilevel"/>
    <w:tmpl w:val="FFFFFFFF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401118E8"/>
    <w:multiLevelType w:val="hybridMultilevel"/>
    <w:tmpl w:val="D50CCCE6"/>
    <w:lvl w:ilvl="0" w:tplc="5F9A149A">
      <w:start w:val="4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EE7FA3"/>
    <w:multiLevelType w:val="hybridMultilevel"/>
    <w:tmpl w:val="50C64D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564DA2"/>
    <w:multiLevelType w:val="hybridMultilevel"/>
    <w:tmpl w:val="0F322F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7F1252"/>
    <w:multiLevelType w:val="hybridMultilevel"/>
    <w:tmpl w:val="2E249C0E"/>
    <w:lvl w:ilvl="0" w:tplc="040E0011">
      <w:start w:val="1"/>
      <w:numFmt w:val="decimal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3A6F3E"/>
    <w:multiLevelType w:val="hybridMultilevel"/>
    <w:tmpl w:val="8C3A0B80"/>
    <w:lvl w:ilvl="0" w:tplc="255EF55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30C1AF6"/>
    <w:multiLevelType w:val="hybridMultilevel"/>
    <w:tmpl w:val="2AE28422"/>
    <w:lvl w:ilvl="0" w:tplc="340AC6B8">
      <w:start w:val="3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6F3170"/>
    <w:multiLevelType w:val="hybridMultilevel"/>
    <w:tmpl w:val="72CA08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686BF0"/>
    <w:multiLevelType w:val="hybridMultilevel"/>
    <w:tmpl w:val="5950B6B4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9F5669"/>
    <w:multiLevelType w:val="hybridMultilevel"/>
    <w:tmpl w:val="7494C83A"/>
    <w:lvl w:ilvl="0" w:tplc="68F874A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1798028">
    <w:abstractNumId w:val="14"/>
  </w:num>
  <w:num w:numId="2" w16cid:durableId="903956306">
    <w:abstractNumId w:val="3"/>
  </w:num>
  <w:num w:numId="3" w16cid:durableId="1704866439">
    <w:abstractNumId w:val="13"/>
  </w:num>
  <w:num w:numId="4" w16cid:durableId="730151466">
    <w:abstractNumId w:val="12"/>
  </w:num>
  <w:num w:numId="5" w16cid:durableId="264385877">
    <w:abstractNumId w:val="7"/>
  </w:num>
  <w:num w:numId="6" w16cid:durableId="1776828471">
    <w:abstractNumId w:val="4"/>
  </w:num>
  <w:num w:numId="7" w16cid:durableId="1350108024">
    <w:abstractNumId w:val="10"/>
  </w:num>
  <w:num w:numId="8" w16cid:durableId="514073666">
    <w:abstractNumId w:val="8"/>
  </w:num>
  <w:num w:numId="9" w16cid:durableId="1780097961">
    <w:abstractNumId w:val="11"/>
  </w:num>
  <w:num w:numId="10" w16cid:durableId="1416972487">
    <w:abstractNumId w:val="15"/>
  </w:num>
  <w:num w:numId="11" w16cid:durableId="722021522">
    <w:abstractNumId w:val="2"/>
  </w:num>
  <w:num w:numId="12" w16cid:durableId="621502007">
    <w:abstractNumId w:val="5"/>
  </w:num>
  <w:num w:numId="13" w16cid:durableId="1166627549">
    <w:abstractNumId w:val="0"/>
  </w:num>
  <w:num w:numId="14" w16cid:durableId="1094401591">
    <w:abstractNumId w:val="6"/>
  </w:num>
  <w:num w:numId="15" w16cid:durableId="1402023211">
    <w:abstractNumId w:val="1"/>
  </w:num>
  <w:num w:numId="16" w16cid:durableId="149445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6"/>
    <w:rsid w:val="000600E8"/>
    <w:rsid w:val="00093380"/>
    <w:rsid w:val="00093406"/>
    <w:rsid w:val="000C49BF"/>
    <w:rsid w:val="001345E6"/>
    <w:rsid w:val="001F5143"/>
    <w:rsid w:val="00200703"/>
    <w:rsid w:val="002267DB"/>
    <w:rsid w:val="00235DCC"/>
    <w:rsid w:val="00270B7E"/>
    <w:rsid w:val="002A1E5F"/>
    <w:rsid w:val="002F73D2"/>
    <w:rsid w:val="003137C6"/>
    <w:rsid w:val="00324718"/>
    <w:rsid w:val="00334055"/>
    <w:rsid w:val="00383606"/>
    <w:rsid w:val="003B4156"/>
    <w:rsid w:val="003B5863"/>
    <w:rsid w:val="004018BE"/>
    <w:rsid w:val="00402CC6"/>
    <w:rsid w:val="0041760B"/>
    <w:rsid w:val="004458F5"/>
    <w:rsid w:val="004B159D"/>
    <w:rsid w:val="004C69A8"/>
    <w:rsid w:val="005A1F06"/>
    <w:rsid w:val="005F1B67"/>
    <w:rsid w:val="0062091D"/>
    <w:rsid w:val="00666395"/>
    <w:rsid w:val="00676CE6"/>
    <w:rsid w:val="00692D91"/>
    <w:rsid w:val="00692F7D"/>
    <w:rsid w:val="00692FF3"/>
    <w:rsid w:val="006D6817"/>
    <w:rsid w:val="006D762B"/>
    <w:rsid w:val="0071164F"/>
    <w:rsid w:val="00725E9F"/>
    <w:rsid w:val="00737A35"/>
    <w:rsid w:val="007B5FA4"/>
    <w:rsid w:val="007D573C"/>
    <w:rsid w:val="008432BB"/>
    <w:rsid w:val="008808EA"/>
    <w:rsid w:val="008943D9"/>
    <w:rsid w:val="008D7B65"/>
    <w:rsid w:val="008F1FA0"/>
    <w:rsid w:val="00931723"/>
    <w:rsid w:val="00A643B2"/>
    <w:rsid w:val="00AD0E26"/>
    <w:rsid w:val="00B15F01"/>
    <w:rsid w:val="00B241F5"/>
    <w:rsid w:val="00B36A7D"/>
    <w:rsid w:val="00C02BEB"/>
    <w:rsid w:val="00C30FCA"/>
    <w:rsid w:val="00C52A0E"/>
    <w:rsid w:val="00CE457F"/>
    <w:rsid w:val="00D054B2"/>
    <w:rsid w:val="00D15347"/>
    <w:rsid w:val="00D211A8"/>
    <w:rsid w:val="00D83425"/>
    <w:rsid w:val="00DD788C"/>
    <w:rsid w:val="00DE2020"/>
    <w:rsid w:val="00E646A9"/>
    <w:rsid w:val="00EA6A43"/>
    <w:rsid w:val="00EB0E8D"/>
    <w:rsid w:val="00F14A7D"/>
    <w:rsid w:val="00F65AAD"/>
    <w:rsid w:val="00FB540A"/>
    <w:rsid w:val="00FB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1EF01"/>
  <w15:chartTrackingRefBased/>
  <w15:docId w15:val="{385198E6-3F59-465A-8CE7-D14615EF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93406"/>
    <w:rPr>
      <w:kern w:val="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0934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934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934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934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934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934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934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934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934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934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934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934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93406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93406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9340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9340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9340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9340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934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93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934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934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934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93406"/>
    <w:rPr>
      <w:i/>
      <w:iCs/>
      <w:color w:val="404040" w:themeColor="text1" w:themeTint="BF"/>
    </w:rPr>
  </w:style>
  <w:style w:type="paragraph" w:styleId="Listaszerbekezds">
    <w:name w:val="List Paragraph"/>
    <w:aliases w:val="lista_2,Welt L,Színes lista – 1. jelölőszín1,Eszeri felsorolás,List Paragraph1,Bullet List,FooterText,numbered,Paragraphe de liste1,Bulletr List Paragraph,列出段落,列出段落1,Listeafsnit1,リスト段落1,Parágrafo da Lista1,List Paragraph2,L,LISTA"/>
    <w:basedOn w:val="Norml"/>
    <w:link w:val="ListaszerbekezdsChar"/>
    <w:uiPriority w:val="34"/>
    <w:qFormat/>
    <w:rsid w:val="0009340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93406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934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93406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93406"/>
    <w:rPr>
      <w:b/>
      <w:bCs/>
      <w:smallCaps/>
      <w:color w:val="2F5496" w:themeColor="accent1" w:themeShade="BF"/>
      <w:spacing w:val="5"/>
    </w:rPr>
  </w:style>
  <w:style w:type="table" w:styleId="Rcsostblzat">
    <w:name w:val="Table Grid"/>
    <w:basedOn w:val="Normltblzat"/>
    <w:uiPriority w:val="39"/>
    <w:rsid w:val="0009340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lista_2 Char,Welt L Char,Színes lista – 1. jelölőszín1 Char,Eszeri felsorolás Char,List Paragraph1 Char,Bullet List Char,FooterText Char,numbered Char,Paragraphe de liste1 Char,Bulletr List Paragraph Char,列出段落 Char,列出段落1 Char"/>
    <w:link w:val="Listaszerbekezds"/>
    <w:uiPriority w:val="34"/>
    <w:qFormat/>
    <w:locked/>
    <w:rsid w:val="00093406"/>
  </w:style>
  <w:style w:type="paragraph" w:styleId="llb">
    <w:name w:val="footer"/>
    <w:basedOn w:val="Norml"/>
    <w:link w:val="llbChar"/>
    <w:uiPriority w:val="99"/>
    <w:unhideWhenUsed/>
    <w:rsid w:val="00093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93406"/>
    <w:rPr>
      <w:kern w:val="0"/>
      <w14:ligatures w14:val="none"/>
    </w:rPr>
  </w:style>
  <w:style w:type="paragraph" w:customStyle="1" w:styleId="Default">
    <w:name w:val="Default"/>
    <w:rsid w:val="0009340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styleId="Jegyzethivatkozs">
    <w:name w:val="annotation reference"/>
    <w:basedOn w:val="Bekezdsalapbettpusa"/>
    <w:uiPriority w:val="99"/>
    <w:semiHidden/>
    <w:unhideWhenUsed/>
    <w:rsid w:val="0009340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09340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093406"/>
    <w:rPr>
      <w:kern w:val="0"/>
      <w:sz w:val="20"/>
      <w:szCs w:val="20"/>
      <w14:ligatures w14:val="non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9340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93406"/>
    <w:rPr>
      <w:b/>
      <w:bCs/>
      <w:kern w:val="0"/>
      <w:sz w:val="20"/>
      <w:szCs w:val="20"/>
      <w14:ligatures w14:val="none"/>
    </w:rPr>
  </w:style>
  <w:style w:type="paragraph" w:styleId="Vltozat">
    <w:name w:val="Revision"/>
    <w:hidden/>
    <w:uiPriority w:val="99"/>
    <w:semiHidden/>
    <w:rsid w:val="00093406"/>
    <w:pPr>
      <w:spacing w:after="0" w:line="240" w:lineRule="auto"/>
    </w:pPr>
    <w:rPr>
      <w:kern w:val="0"/>
      <w14:ligatures w14:val="none"/>
    </w:rPr>
  </w:style>
  <w:style w:type="character" w:styleId="Hiperhivatkozs">
    <w:name w:val="Hyperlink"/>
    <w:basedOn w:val="Bekezdsalapbettpusa"/>
    <w:uiPriority w:val="99"/>
    <w:unhideWhenUsed/>
    <w:rsid w:val="00B36A7D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36A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palyazat.gov.hu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2158</Words>
  <Characters>14892</Characters>
  <Application>Microsoft Office Word</Application>
  <DocSecurity>0</DocSecurity>
  <Lines>124</Lines>
  <Paragraphs>34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czapp.zsuzsa</dc:creator>
  <cp:keywords/>
  <dc:description/>
  <cp:lastModifiedBy>HBM-i Önkormányzat</cp:lastModifiedBy>
  <cp:revision>8</cp:revision>
  <cp:lastPrinted>2025-12-05T14:41:00Z</cp:lastPrinted>
  <dcterms:created xsi:type="dcterms:W3CDTF">2025-12-04T08:49:00Z</dcterms:created>
  <dcterms:modified xsi:type="dcterms:W3CDTF">2025-12-05T14:41:00Z</dcterms:modified>
</cp:coreProperties>
</file>