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7279B" w14:textId="77777777">
      <w:pPr>
        <w:jc w:val="both"/>
        <w:rPr>
          <w:rFonts w:cs="Open Sans"/>
          <w:color w:val="003399"/>
        </w:rPr>
      </w:pPr>
    </w:p>
    <w:tbl>
      <w:tblPr>
        <w:tblW w:w="10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8370"/>
      </w:tblGrid>
      <w:tr w14:paraId="2FCB8905" w14:textId="77777777">
        <w:trPr>
          <w:trHeight w:val="333"/>
        </w:trPr>
        <w:tc>
          <w:tcPr>
            <w:tcW w:w="10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A3120" w14:textId="5725622C">
            <w:pPr>
              <w:pStyle w:val="P68B1DB1-Normal1"/>
              <w:spacing w:after="120" w:line="276" w:lineRule="auto"/>
              <w:jc w:val="both"/>
            </w:pPr>
            <w:r>
              <w:t xml:space="preserve">Felhívás típusa: Stratégiai jelentőségű műveletekre vonatkozó felhívás (OSI)</w:t>
            </w:r>
          </w:p>
        </w:tc>
      </w:tr>
      <w:tr w14:paraId="0362BCF6" w14:textId="77777777">
        <w:trPr>
          <w:trHeight w:val="33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449FA" w14:textId="78826771">
            <w:pPr>
              <w:pStyle w:val="P68B1DB1-Normal2"/>
              <w:spacing w:after="120" w:line="251" w:lineRule="auto"/>
              <w:jc w:val="center"/>
            </w:pPr>
            <w:r>
              <w:t xml:space="preserve">Acronym &amp; Projekt kód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6C865" w14:textId="2F8AE7CE">
            <w:pPr>
              <w:pStyle w:val="P68B1DB1-Normal2"/>
              <w:spacing w:after="120" w:line="276" w:lineRule="auto"/>
              <w:jc w:val="both"/>
            </w:pPr>
            <w:r>
              <w:t xml:space="preserve">MEGÚJÍTÁS – ROHU00617</w:t>
            </w:r>
          </w:p>
        </w:tc>
      </w:tr>
      <w:tr w14:paraId="1D2DEC3A" w14:textId="77777777">
        <w:trPr>
          <w:trHeight w:val="482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7DCFD" w14:textId="77777777">
            <w:pPr>
              <w:pStyle w:val="P68B1DB1-Normal2"/>
              <w:spacing w:after="120"/>
              <w:jc w:val="center"/>
            </w:pPr>
            <w:r>
              <w:t xml:space="preserve">A projekt címe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13E40" w14:textId="4A1AC49B">
            <w:pPr>
              <w:pStyle w:val="P68B1DB1-Normal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</w:pPr>
            <w:r>
              <w:t xml:space="preserve">Jól működik a megújuló energia</w:t>
            </w:r>
          </w:p>
        </w:tc>
      </w:tr>
      <w:tr w14:paraId="2ED899A6" w14:textId="77777777">
        <w:trPr>
          <w:trHeight w:val="70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C31C9" w14:textId="7F3E20E8">
            <w:pPr>
              <w:pStyle w:val="P68B1DB1-Normal2"/>
              <w:spacing w:after="120"/>
              <w:jc w:val="center"/>
            </w:pPr>
            <w:r>
              <w:t>Prioritás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E8ECA" w14:textId="10EC776D">
            <w:pPr>
              <w:pStyle w:val="P68B1DB1-Normal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</w:pPr>
            <w:r>
              <w:t xml:space="preserve">P1 – Együttműködés a Románia és Magyarország közötti zöld és reziliensebb határ menti térségért</w:t>
            </w:r>
          </w:p>
        </w:tc>
      </w:tr>
      <w:tr w14:paraId="5A450318" w14:textId="77777777">
        <w:trPr>
          <w:trHeight w:val="58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4F8B1" w14:textId="77777777">
            <w:pPr>
              <w:pStyle w:val="P68B1DB1-Normal2"/>
              <w:spacing w:after="120"/>
              <w:jc w:val="center"/>
            </w:pPr>
            <w:r>
              <w:t xml:space="preserve">Célkitűzés </w:t>
            </w:r>
          </w:p>
          <w:p w14:paraId="468B4CF9" w14:textId="6EA812C5">
            <w:pPr>
              <w:pStyle w:val="P68B1DB1-Normal2"/>
              <w:spacing w:after="120"/>
              <w:jc w:val="center"/>
            </w:pPr>
            <w:r>
              <w:t>Specifikus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4B3DD" w14:textId="294D7980">
            <w:pPr>
              <w:pStyle w:val="P68B1DB1-Normal3"/>
              <w:spacing w:after="120" w:line="276" w:lineRule="auto"/>
              <w:jc w:val="both"/>
            </w:pPr>
            <w:r>
              <w:t xml:space="preserve">RS02.2 – A megújuló energia előmozdítása az (EU) 2018/2001 megújulóenergia-irányelvvel és az abban meghatározott fenntarthatósági kritériumokkal összhangban</w:t>
            </w:r>
          </w:p>
        </w:tc>
      </w:tr>
      <w:tr w14:paraId="7703D1F8" w14:textId="77777777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49972" w14:textId="77777777">
            <w:pPr>
              <w:pStyle w:val="P68B1DB1-Normal2"/>
              <w:spacing w:after="120"/>
              <w:jc w:val="center"/>
            </w:pPr>
            <w:r>
              <w:t xml:space="preserve">Végrehajtási időszak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F6933" w14:textId="156B5A3E">
            <w:pPr>
              <w:pStyle w:val="P68B1DB1-Normal3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</w:pPr>
            <w:r>
              <w:t xml:space="preserve">36 hónap (2024. december 23. 2027. december 22.)</w:t>
            </w:r>
          </w:p>
        </w:tc>
      </w:tr>
      <w:tr w14:paraId="010F0453" w14:textId="77777777">
        <w:trPr>
          <w:trHeight w:val="1976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B0E74" w14:textId="77777777">
            <w:pPr>
              <w:pStyle w:val="P68B1DB1-Normal2"/>
              <w:spacing w:after="120"/>
              <w:jc w:val="center"/>
            </w:pPr>
            <w:r>
              <w:t>Célkitűzés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65F9E" w14:textId="6F300A99">
            <w:pPr>
              <w:pStyle w:val="P68B1DB1-Normal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</w:pPr>
            <w:r>
              <w:t xml:space="preserve">A projekt fő célja, hogy a megújuló energiaforrások népszerűsítése és hasznosítása révén elősegítse és hozzájáruljon a zöld, reziliens és összetartóbb átmenethez a román-magyar határtérségben. A projekt a geotermikus víz és a geotermikus vízből előállított gáz, valamint a napenergia fűtési potenciáljának kiaknázására összpontosít. Ez az átállás elősegíti a gazdasági növekedést és az energiafüggetlenséget, és további együttműködési kezdeményezésekre ösztönöz.</w:t>
            </w:r>
          </w:p>
        </w:tc>
      </w:tr>
      <w:tr w14:paraId="1EEF8B90" w14:textId="77777777">
        <w:trPr>
          <w:trHeight w:val="754"/>
        </w:trPr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5820D" w14:textId="77777777">
            <w:pPr>
              <w:pStyle w:val="P68B1DB1-Normal2"/>
              <w:spacing w:after="120"/>
              <w:jc w:val="center"/>
            </w:pPr>
            <w:r>
              <w:t>Partnerség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554CE" w14:textId="21138CDD">
            <w:pPr>
              <w:pStyle w:val="P68B1DB1-Normal2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</w:pPr>
            <w:r>
              <w:t xml:space="preserve">Vezető partner: </w:t>
            </w:r>
          </w:p>
          <w:p w14:paraId="6332623C" w14:textId="62DE0291">
            <w:pPr>
              <w:pStyle w:val="P68B1DB1-Normal3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</w:pPr>
            <w:r>
              <w:t xml:space="preserve">Hajdú-Bihar Megyei Tanács (Magyarország)</w:t>
            </w:r>
          </w:p>
        </w:tc>
      </w:tr>
      <w:tr w14:paraId="527C4A89" w14:textId="77777777">
        <w:trPr>
          <w:trHeight w:val="926"/>
        </w:trPr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9DF23" w14:textId="77777777">
            <w:pPr>
              <w:spacing w:after="0" w:line="251" w:lineRule="auto"/>
              <w:rPr>
                <w:rFonts w:cs="Open Sans"/>
                <w:b/>
                <w:color w:val="1F3864" w:themeColor="accent5" w:themeShade="80"/>
              </w:rPr>
            </w:pP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2FD94" w14:textId="77777777">
            <w:pPr>
              <w:pStyle w:val="P68B1DB1-Normal2"/>
              <w:spacing w:after="0" w:line="276" w:lineRule="auto"/>
              <w:jc w:val="both"/>
            </w:pPr>
            <w:r>
              <w:t xml:space="preserve">Projektpartnerek: </w:t>
            </w:r>
          </w:p>
          <w:p w14:paraId="6BBD4969" w14:textId="7DF13472">
            <w:pPr>
              <w:pStyle w:val="P68B1DB1-Normal3"/>
              <w:spacing w:after="0" w:line="276" w:lineRule="auto"/>
              <w:jc w:val="both"/>
            </w:pPr>
            <w:r>
              <w:t xml:space="preserve">PP2 HU:</w:t>
            </w:r>
            <w:r>
              <w:rPr>
                <w:b/>
              </w:rPr>
              <w:t xml:space="preserve"> Berettyóújfalu </w:t>
            </w:r>
            <w:r>
              <w:t xml:space="preserve">Község Önkormányzata,</w:t>
            </w:r>
          </w:p>
          <w:p w14:paraId="2AA03AA2" w14:textId="39A8BB54">
            <w:pPr>
              <w:pStyle w:val="P68B1DB1-Normal3"/>
              <w:spacing w:after="0" w:line="276" w:lineRule="auto"/>
              <w:jc w:val="both"/>
            </w:pPr>
            <w:r>
              <w:t xml:space="preserve">PP3 HU: Hajdúdorog Község Önkormányzata</w:t>
            </w:r>
          </w:p>
          <w:p w14:paraId="77F62C2B" w14:textId="5E82E536">
            <w:pPr>
              <w:pStyle w:val="P68B1DB1-Normal3"/>
              <w:spacing w:after="0" w:line="276" w:lineRule="auto"/>
              <w:jc w:val="both"/>
            </w:pPr>
            <w:r>
              <w:t xml:space="preserve">PP4 HU: Kaba önkormányzata</w:t>
            </w:r>
          </w:p>
          <w:p w14:paraId="7AAA8761" w14:textId="72215B17">
            <w:pPr>
              <w:pStyle w:val="P68B1DB1-Normal3"/>
              <w:spacing w:after="0" w:line="276" w:lineRule="auto"/>
              <w:jc w:val="both"/>
            </w:pPr>
            <w:r>
              <w:t xml:space="preserve">PP5 HU: Létavértes Község Önkormányzata</w:t>
            </w:r>
          </w:p>
          <w:p w14:paraId="66650754" w14:textId="4B688288">
            <w:pPr>
              <w:pStyle w:val="P68B1DB1-Normal3"/>
              <w:spacing w:after="0" w:line="276" w:lineRule="auto"/>
              <w:jc w:val="both"/>
            </w:pPr>
            <w:r>
              <w:t xml:space="preserve">PP6 HU: Hajdú-Bihar Megyei Fejlesztési Ügynökség </w:t>
            </w:r>
          </w:p>
          <w:p w14:paraId="7BCBBF71" w14:textId="3A53F503">
            <w:pPr>
              <w:pStyle w:val="P68B1DB1-Normal3"/>
              <w:spacing w:after="0" w:line="276" w:lineRule="auto"/>
              <w:jc w:val="both"/>
            </w:pPr>
            <w:r>
              <w:t xml:space="preserve">PP7 RO: UAT Bihar megye - Bihar megyei tanács</w:t>
            </w:r>
          </w:p>
        </w:tc>
      </w:tr>
      <w:tr w14:paraId="4EE4EBD1" w14:textId="77777777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469C" w14:textId="77777777">
            <w:pPr>
              <w:pStyle w:val="P68B1DB1-Normal2"/>
              <w:jc w:val="center"/>
            </w:pPr>
            <w:r>
              <w:t xml:space="preserve">Teljes költségvetés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4F5C2" w14:textId="59CAF4F3">
            <w:pPr>
              <w:pStyle w:val="P68B1DB1-Normal4"/>
              <w:spacing w:after="0" w:line="276" w:lineRule="auto"/>
              <w:jc w:val="both"/>
              <w:rPr>
                <w:rFonts w:cs="Open Sans"/>
              </w:rPr>
            </w:pPr>
            <w:r>
              <w:rPr>
                <w:rFonts w:cs="Open Sans"/>
              </w:rPr>
              <w:t xml:space="preserve">9 010 615,03 EUR, ebből ERFA: 7 208 492,00 EUR</w:t>
            </w:r>
            <w:r>
              <w:rPr>
                <w:rFonts w:cs="Open Sans" w:eastAsia="Times New Roman"/>
                <w:b/>
              </w:rPr>
              <w:t xml:space="preserve"> </w:t>
            </w:r>
          </w:p>
        </w:tc>
      </w:tr>
      <w:tr w14:paraId="51B61C9D" w14:textId="77777777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790AF" w14:textId="77777777">
            <w:pPr>
              <w:pStyle w:val="P68B1DB1-Normal2"/>
              <w:jc w:val="center"/>
            </w:pPr>
            <w:r>
              <w:t>Összefoglaló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A50E2" w14:textId="77777777">
            <w:pPr>
              <w:pStyle w:val="P68B1DB1-P68B1DB1-Normal3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002060"/>
              </w:rPr>
            </w:pPr>
            <w:r>
              <w:t xml:space="preserve">Hajdú-Bihar megye és Bihar megye határmenti régiója számos közös, környezeti, gazdasági és társadalmi vonatkozású kihívással néz szembe. Kulcsfontosságú kérdés a gázfűtéstől való függőség, amely hozzájárul a káros kibocsátásokhoz és az éghajlatváltozáshoz. Tekintettel a hazai földgáztermelés visszaesésére, a régió hamarosan teljes mértékben az importra fog támaszkodni, ami aggályokat vet fel a biztonsággal, a minőséggel és az árral kapcsolatban.</w:t>
            </w:r>
          </w:p>
          <w:p w14:paraId="2899966B" w14:textId="77777777">
            <w:pPr>
              <w:pStyle w:val="P68B1DB1-P68B1DB1-Normal3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color w:val="002060"/>
              </w:rPr>
            </w:pPr>
            <w:r>
              <w:t xml:space="preserve">A partnerség geotermikus rendszereket telepít hat partner telephelyére a határ mindkét oldalán (WP1). E nagyszabású beruházás révén a partnerség célja a megújuló energia terén folytatott, határokon átnyúló együttműködés intézményi és pénzügyi akadályainak kezelése, valamint az RCO116 kimeneti mutatóhoz és az RCR104 eredménymutatóhoz való hozzájárulás.</w:t>
            </w:r>
          </w:p>
          <w:p w14:paraId="272C49EF" w14:textId="77777777">
            <w:pPr>
              <w:pStyle w:val="P68B1DB1-Normal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color w:val="002060"/>
              </w:rPr>
            </w:pPr>
          </w:p>
          <w:p w14:paraId="1EEB7C0A" w14:textId="77777777">
            <w:pPr>
              <w:pStyle w:val="P68B1DB1-P68B1DB1-Normal3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002060"/>
              </w:rPr>
            </w:pPr>
            <w:r>
              <w:t xml:space="preserve">A projekt fő tevékenységei a következők:</w:t>
            </w:r>
          </w:p>
          <w:p w14:paraId="0814897C" w14:textId="77777777">
            <w:pPr>
              <w:pStyle w:val="P68B1DB1-P68B1DB1-Normal32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before="100" w:beforeAutospacing="1" w:after="100" w:afterAutospacing="1" w:line="240" w:lineRule="auto"/>
              <w:jc w:val="both"/>
              <w:textAlignment w:val="auto"/>
              <w:rPr>
                <w:rFonts w:eastAsia="Times New Roman"/>
                <w:color w:val="002060"/>
              </w:rPr>
            </w:pPr>
            <w:r>
              <w:rPr>
                <w:b/>
              </w:rPr>
              <w:t xml:space="preserve">Infrastruktúra-korszerűsítés Hajdú-Bihar Megyei Tanácsban:</w:t>
            </w:r>
            <w:r>
              <w:t xml:space="preserve"> Az épületek energiahatékonyságának javítására és a környezeti hatások csökkentésére irányuló munkálatok, beleértve a hőszigetelést, az ablakok és ajtók cseréjét, hőszivattyúk telepítését, padlófűtést stb. Emellett az LP1 két hálózatról tölthető hibrid autót szerez be, és két elektromos töltőállomást telepít (a Piac u 71. és a Piac u 54. alatt).</w:t>
            </w:r>
          </w:p>
          <w:p w14:paraId="5704E5E5" w14:textId="34504FDC">
            <w:pPr>
              <w:pStyle w:val="P68B1DB1-P68B1DB1-Normal32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before="100" w:beforeAutospacing="1" w:after="100" w:afterAutospacing="1" w:line="240" w:lineRule="auto"/>
              <w:jc w:val="both"/>
              <w:textAlignment w:val="auto"/>
              <w:rPr>
                <w:rFonts w:eastAsia="Times New Roman"/>
                <w:color w:val="002060"/>
              </w:rPr>
            </w:pPr>
            <w:r>
              <w:rPr>
                <w:b/>
              </w:rPr>
              <w:t xml:space="preserve">Infrastruktúra-korszerűsítés Berettyóújfaluban:</w:t>
            </w:r>
            <w:r>
              <w:t xml:space="preserve"> A termálvizek 32-36 °C közötti hőmérsékleten történő hasznosítása termálmedencékből, víz-víz hőszivattyúk használatával öt önkormányzati épület fűtésére.</w:t>
            </w:r>
          </w:p>
          <w:p w14:paraId="71F459EE" w14:textId="77777777">
            <w:pPr>
              <w:numPr>
                <w:ilvl w:val="0"/>
                <w:numId w:val="10"/>
              </w:numPr>
              <w:suppressAutoHyphens w:val="0"/>
              <w:autoSpaceDN/>
              <w:spacing w:before="100" w:beforeAutospacing="1" w:after="100" w:afterAutospacing="1" w:line="240" w:lineRule="auto"/>
              <w:jc w:val="both"/>
              <w:textAlignment w:val="auto"/>
              <w:rPr>
                <w:rFonts w:cs="Open Sans" w:eastAsia="Times New Roman"/>
                <w:color w:val="002060"/>
              </w:rPr>
              <w:pStyle w:val="P68B1DB1-Normal5"/>
            </w:pPr>
            <w:r>
              <w:rPr>
                <w:b/>
              </w:rPr>
              <w:t xml:space="preserve">Infrastruktúra-korszerűsítés Hajdúdorogon:</w:t>
            </w:r>
            <w:r>
              <w:t xml:space="preserve"> A meglévő termálvíz hét közintézmény fűtésére való felhasználása az energiahatékonyság növelése és ezen intézmények költségeinek csökkentése érdekében.</w:t>
            </w:r>
          </w:p>
          <w:p w14:paraId="462AF433" w14:textId="77777777">
            <w:pPr>
              <w:numPr>
                <w:ilvl w:val="0"/>
                <w:numId w:val="10"/>
              </w:numPr>
              <w:suppressAutoHyphens w:val="0"/>
              <w:autoSpaceDN/>
              <w:spacing w:before="100" w:beforeAutospacing="1" w:after="100" w:afterAutospacing="1" w:line="240" w:lineRule="auto"/>
              <w:jc w:val="both"/>
              <w:textAlignment w:val="auto"/>
              <w:rPr>
                <w:rFonts w:cs="Open Sans" w:eastAsia="Times New Roman"/>
                <w:color w:val="002060"/>
              </w:rPr>
              <w:pStyle w:val="P68B1DB1-Normal5"/>
            </w:pPr>
            <w:r>
              <w:rPr>
                <w:b/>
              </w:rPr>
              <w:t xml:space="preserve">Infrastruktúra-korszerűsítés Kabbában:</w:t>
            </w:r>
            <w:r>
              <w:t xml:space="preserve"> A meglévő termálvíz felhasználása hét közintézmény fűtésére.</w:t>
            </w:r>
          </w:p>
          <w:p w14:paraId="78E7225D" w14:textId="77777777">
            <w:pPr>
              <w:numPr>
                <w:ilvl w:val="0"/>
                <w:numId w:val="10"/>
              </w:numPr>
              <w:suppressAutoHyphens w:val="0"/>
              <w:autoSpaceDN/>
              <w:spacing w:before="100" w:beforeAutospacing="1" w:after="100" w:afterAutospacing="1" w:line="240" w:lineRule="auto"/>
              <w:jc w:val="both"/>
              <w:textAlignment w:val="auto"/>
              <w:rPr>
                <w:rFonts w:cs="Open Sans" w:eastAsia="Times New Roman"/>
                <w:color w:val="002060"/>
              </w:rPr>
              <w:pStyle w:val="P68B1DB1-Normal5"/>
            </w:pPr>
            <w:r>
              <w:rPr>
                <w:b/>
              </w:rPr>
              <w:t xml:space="preserve">Infrastruktúra-korszerűsítés Létavértesben:</w:t>
            </w:r>
            <w:r>
              <w:t xml:space="preserve"> A meglévő geotermikus fűtési hálózat bővítése további hat épületnek a rendszerhez való csatlakoztatása érdekében.</w:t>
            </w:r>
          </w:p>
          <w:p w14:paraId="561E41D2" w14:textId="77777777">
            <w:pPr>
              <w:numPr>
                <w:ilvl w:val="0"/>
                <w:numId w:val="10"/>
              </w:numPr>
              <w:suppressAutoHyphens w:val="0"/>
              <w:autoSpaceDN/>
              <w:spacing w:before="100" w:beforeAutospacing="1" w:after="100" w:afterAutospacing="1" w:line="240" w:lineRule="auto"/>
              <w:jc w:val="both"/>
              <w:textAlignment w:val="auto"/>
              <w:rPr>
                <w:rFonts w:cs="Open Sans" w:eastAsia="Times New Roman"/>
                <w:color w:val="002060"/>
              </w:rPr>
              <w:pStyle w:val="P68B1DB1-Normal5"/>
            </w:pPr>
            <w:r>
              <w:rPr>
                <w:b/>
              </w:rPr>
              <w:t xml:space="preserve">Hatékony és fenntartható fűtési rendszerért dolgozik a Multifunkcionális Kulturális Központban:</w:t>
            </w:r>
            <w:r>
              <w:t xml:space="preserve"> Hatékony és tartós fűtési rendszer telepítése a legkorszerűbb technológiai megoldások, a partnerek energiaágazatbeli szakértelmén alapuló energiagazdálkodási folyamatok és a megújuló energiaforrások felhasználásával, beleértve a geotermikus energia hatékony kezelését és felhasználását.</w:t>
            </w:r>
          </w:p>
          <w:p w14:paraId="61CFEED4" w14:textId="77777777">
            <w:pPr>
              <w:numPr>
                <w:ilvl w:val="0"/>
                <w:numId w:val="10"/>
              </w:numPr>
              <w:suppressAutoHyphens w:val="0"/>
              <w:autoSpaceDN/>
              <w:spacing w:before="100" w:beforeAutospacing="1" w:after="100" w:afterAutospacing="1" w:line="240" w:lineRule="auto"/>
              <w:jc w:val="both"/>
              <w:textAlignment w:val="auto"/>
              <w:rPr>
                <w:rFonts w:cs="Open Sans" w:eastAsia="Times New Roman"/>
                <w:color w:val="002060"/>
              </w:rPr>
              <w:pStyle w:val="P68B1DB1-Normal5"/>
            </w:pPr>
            <w:r>
              <w:rPr>
                <w:b/>
              </w:rPr>
              <w:t xml:space="preserve">Román-magyar határon átnyúló megújulóenergia-cselekvési terv kidolgozása:</w:t>
            </w:r>
            <w:r>
              <w:t xml:space="preserve"> PP7 A CJBH koordinálja a közös energiaügyi cselekvési terv kidolgozását, és külső szakértőket vesz fel az energiával kapcsolatos adatok és megoldások gyűjtésére.</w:t>
            </w:r>
          </w:p>
          <w:p w14:paraId="010A172E" w14:textId="77777777">
            <w:pPr>
              <w:numPr>
                <w:ilvl w:val="0"/>
                <w:numId w:val="10"/>
              </w:numPr>
              <w:suppressAutoHyphens w:val="0"/>
              <w:autoSpaceDN/>
              <w:spacing w:before="100" w:beforeAutospacing="1" w:after="100" w:afterAutospacing="1" w:line="240" w:lineRule="auto"/>
              <w:jc w:val="both"/>
              <w:textAlignment w:val="auto"/>
              <w:rPr>
                <w:rFonts w:cs="Open Sans" w:eastAsia="Times New Roman"/>
                <w:color w:val="002060"/>
              </w:rPr>
              <w:pStyle w:val="P68B1DB1-Normal5"/>
            </w:pPr>
            <w:r>
              <w:rPr>
                <w:b/>
              </w:rPr>
              <w:t xml:space="preserve">Puha tevékenységek:</w:t>
            </w:r>
          </w:p>
          <w:p w14:paraId="7B280338" w14:textId="77777777">
            <w:pPr>
              <w:numPr>
                <w:ilvl w:val="1"/>
                <w:numId w:val="12"/>
              </w:numPr>
              <w:suppressAutoHyphens w:val="0"/>
              <w:autoSpaceDN/>
              <w:spacing w:before="100" w:beforeAutospacing="1" w:after="100" w:afterAutospacing="1" w:line="240" w:lineRule="auto"/>
              <w:jc w:val="both"/>
              <w:textAlignment w:val="auto"/>
              <w:rPr>
                <w:rFonts w:cs="Open Sans" w:eastAsia="Times New Roman"/>
                <w:color w:val="002060"/>
              </w:rPr>
              <w:pStyle w:val="P68B1DB1-Normal5"/>
            </w:pPr>
            <w:r>
              <w:t xml:space="preserve">A PP2, PP3, PP4, PP5 legalább 100 fát/bokrot vásárol és ültet az intervenciós helyszíneken.</w:t>
            </w:r>
          </w:p>
          <w:p w14:paraId="49106E6F" w14:textId="77777777">
            <w:pPr>
              <w:numPr>
                <w:ilvl w:val="1"/>
                <w:numId w:val="12"/>
              </w:numPr>
              <w:suppressAutoHyphens w:val="0"/>
              <w:autoSpaceDN/>
              <w:spacing w:before="100" w:beforeAutospacing="1" w:after="100" w:afterAutospacing="1" w:line="240" w:lineRule="auto"/>
              <w:jc w:val="both"/>
              <w:textAlignment w:val="auto"/>
              <w:rPr>
                <w:rFonts w:cs="Open Sans" w:eastAsia="Times New Roman"/>
                <w:color w:val="002060"/>
              </w:rPr>
              <w:pStyle w:val="P68B1DB1-Normal5"/>
            </w:pPr>
            <w:r>
              <w:t xml:space="preserve">A PP6 és a PP7 három közös nyári tematikus tábort szervez (évente egy tábort).</w:t>
            </w:r>
          </w:p>
          <w:p w14:paraId="16697DB4" w14:textId="77777777">
            <w:pPr>
              <w:numPr>
                <w:ilvl w:val="1"/>
                <w:numId w:val="12"/>
              </w:numPr>
              <w:suppressAutoHyphens w:val="0"/>
              <w:autoSpaceDN/>
              <w:spacing w:before="100" w:beforeAutospacing="1" w:after="100" w:afterAutospacing="1" w:line="240" w:lineRule="auto"/>
              <w:jc w:val="both"/>
              <w:textAlignment w:val="auto"/>
              <w:rPr>
                <w:rFonts w:cs="Open Sans" w:eastAsia="Times New Roman"/>
                <w:color w:val="002060"/>
              </w:rPr>
              <w:pStyle w:val="P68B1DB1-Normal5"/>
            </w:pPr>
            <w:r>
              <w:t xml:space="preserve">Tematikus részvétel öt helyszínen tartott rendezvényeken: Berettyóújfalu, Hajdúdorog, Kaba, Létavértes, Nagyvárad.</w:t>
            </w:r>
          </w:p>
          <w:p w14:paraId="68083303" w14:textId="77777777">
            <w:pPr>
              <w:numPr>
                <w:ilvl w:val="1"/>
                <w:numId w:val="12"/>
              </w:numPr>
              <w:suppressAutoHyphens w:val="0"/>
              <w:autoSpaceDN/>
              <w:spacing w:before="100" w:beforeAutospacing="1" w:after="100" w:afterAutospacing="1" w:line="240" w:lineRule="auto"/>
              <w:jc w:val="both"/>
              <w:textAlignment w:val="auto"/>
              <w:rPr>
                <w:rFonts w:cs="Open Sans" w:eastAsia="Times New Roman"/>
                <w:color w:val="002060"/>
              </w:rPr>
              <w:pStyle w:val="P68B1DB1-Normal5"/>
            </w:pPr>
            <w:r>
              <w:t xml:space="preserve">Hat közös tanulmányút Tiszalökre (vízerőmű), Berettyóújfalura (naperőműpark) és Kulcsra (szélerőmű) a határmenti diákok számára.</w:t>
            </w:r>
          </w:p>
          <w:p w14:paraId="1D99E504" w14:textId="77777777">
            <w:pPr>
              <w:numPr>
                <w:ilvl w:val="1"/>
                <w:numId w:val="12"/>
              </w:numPr>
              <w:suppressAutoHyphens w:val="0"/>
              <w:autoSpaceDN/>
              <w:spacing w:before="100" w:beforeAutospacing="1" w:after="100" w:afterAutospacing="1" w:line="240" w:lineRule="auto"/>
              <w:jc w:val="both"/>
              <w:textAlignment w:val="auto"/>
              <w:rPr>
                <w:rFonts w:cs="Open Sans" w:eastAsia="Times New Roman"/>
                <w:color w:val="002060"/>
              </w:rPr>
              <w:pStyle w:val="P68B1DB1-Normal5"/>
            </w:pPr>
            <w:r>
              <w:t xml:space="preserve">Két közös jógyakorlat-látogatást szerveztünk Nagyváradon, Berettyóújfalun és Kabbán.</w:t>
            </w:r>
          </w:p>
          <w:p w14:paraId="33F385A6" w14:textId="77777777">
            <w:pPr>
              <w:numPr>
                <w:ilvl w:val="1"/>
                <w:numId w:val="12"/>
              </w:numPr>
              <w:suppressAutoHyphens w:val="0"/>
              <w:autoSpaceDN/>
              <w:spacing w:before="100" w:beforeAutospacing="1" w:after="100" w:afterAutospacing="1" w:line="240" w:lineRule="auto"/>
              <w:jc w:val="both"/>
              <w:textAlignment w:val="auto"/>
              <w:rPr>
                <w:rFonts w:cs="Open Sans" w:eastAsia="Times New Roman"/>
                <w:color w:val="002060"/>
              </w:rPr>
              <w:pStyle w:val="P68B1DB1-Normal5"/>
            </w:pPr>
            <w:r>
              <w:t xml:space="preserve">Figyelemfelkeltő tevékenységek általános iskolás gyermekek számára, négy helyszínen szervezve.</w:t>
            </w:r>
          </w:p>
          <w:p w14:paraId="769F20B1" w14:textId="27A2FB98">
            <w:pPr>
              <w:numPr>
                <w:ilvl w:val="1"/>
                <w:numId w:val="12"/>
              </w:numPr>
              <w:suppressAutoHyphens w:val="0"/>
              <w:autoSpaceDN/>
              <w:spacing w:before="100" w:beforeAutospacing="1" w:after="100" w:afterAutospacing="1" w:line="240" w:lineRule="auto"/>
              <w:jc w:val="both"/>
              <w:textAlignment w:val="auto"/>
              <w:rPr>
                <w:rFonts w:cs="Open Sans"/>
                <w:color w:val="002060"/>
              </w:rPr>
              <w:pStyle w:val="P68B1DB1-Normal5"/>
            </w:pPr>
            <w:r>
              <w:t xml:space="preserve">Egy 12 eseményből álló program, ahol az iskolások megosztják tudásukat az óvodásokkal az ökológiai életmódról.</w:t>
            </w:r>
          </w:p>
        </w:tc>
      </w:tr>
      <w:tr w14:paraId="47DF7069" w14:textId="77777777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485AE" w14:textId="77777777">
            <w:pPr>
              <w:pStyle w:val="P68B1DB1-Normal2"/>
              <w:jc w:val="center"/>
            </w:pPr>
            <w:r>
              <w:t xml:space="preserve">Főbb eredmények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648D6" w14:textId="77777777">
            <w:pPr>
              <w:pStyle w:val="P68B1DB1-Normal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</w:pPr>
            <w:r>
              <w:t xml:space="preserve">A projekt főbb eredményei a következők:</w:t>
            </w:r>
          </w:p>
          <w:p w14:paraId="3AD4FE3A" w14:textId="77777777">
            <w:pPr>
              <w:pStyle w:val="P68B1DB1-Normal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</w:pPr>
          </w:p>
          <w:p w14:paraId="1829D1A9" w14:textId="77777777">
            <w:pPr>
              <w:pStyle w:val="P68B1DB1-Normal3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</w:pPr>
            <w:r>
              <w:rPr>
                <w:b/>
              </w:rPr>
              <w:t xml:space="preserve">Az infrastruktúra megerősítése és a megújuló energiaforrások, különösen a geotermikus energia felhasználása</w:t>
            </w:r>
            <w:r>
              <w:t xml:space="preserve"> az LP partnerek, a PP2, PP3, PP4, PP5 és PP7 számára hőszivattyúk (LP, PP2 és PP7) és hőcserélők (PP3, PP4 és PP5) telepítésével. A projektben részt vevő épületek száma:</w:t>
            </w:r>
          </w:p>
          <w:p w14:paraId="677CBBB8" w14:textId="6193C250">
            <w:pPr>
              <w:pStyle w:val="P68B1DB1-Normal3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</w:pPr>
            <w:r>
              <w:t xml:space="preserve">LP: 1 épület, valamint egy másik helyen található elektromos jármű töltőállomás.</w:t>
            </w:r>
          </w:p>
          <w:p w14:paraId="373A7A2E" w14:textId="17E5552C">
            <w:pPr>
              <w:pStyle w:val="P68B1DB1-Normal3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</w:pPr>
            <w:r>
              <w:t xml:space="preserve">PP2: 5 épület.</w:t>
            </w:r>
          </w:p>
          <w:p w14:paraId="596E059C" w14:textId="506ECA5C">
            <w:pPr>
              <w:pStyle w:val="P68B1DB1-Normal3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</w:pPr>
            <w:r>
              <w:t xml:space="preserve">PP3: 7 épület.</w:t>
            </w:r>
          </w:p>
          <w:p w14:paraId="6CDA15C6" w14:textId="11DAD895">
            <w:pPr>
              <w:pStyle w:val="P68B1DB1-Normal3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</w:pPr>
            <w:r>
              <w:t xml:space="preserve">PP4: 7 épület.</w:t>
            </w:r>
          </w:p>
          <w:p w14:paraId="0582408C" w14:textId="684A2DF2">
            <w:pPr>
              <w:pStyle w:val="P68B1DB1-Normal3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</w:pPr>
            <w:r>
              <w:t xml:space="preserve">PP5: 6 épület.</w:t>
            </w:r>
          </w:p>
          <w:p w14:paraId="70F2F8D3" w14:textId="77777777">
            <w:pPr>
              <w:pStyle w:val="P68B1DB1-Normal3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</w:pPr>
            <w:r>
              <w:t xml:space="preserve">PP7: 1 épület.</w:t>
            </w:r>
          </w:p>
          <w:p w14:paraId="344098CF" w14:textId="77777777">
            <w:pPr>
              <w:pStyle w:val="P68B1DB1-Normal3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</w:pPr>
            <w:r>
              <w:rPr>
                <w:b/>
              </w:rPr>
              <w:t xml:space="preserve">Határokon átnyúló megújulóenergia-cselekvési terv kidolgozása,</w:t>
            </w:r>
            <w:r>
              <w:t xml:space="preserve"> amely támogatni fogja a fenntartható energiára való átállást a régióban, a geotermikus vízben és a napenergiában rejlő lehetőségek fűtési célú kiaknázására összpontosítva.</w:t>
            </w:r>
          </w:p>
          <w:p w14:paraId="1BC2AF69" w14:textId="77777777">
            <w:pPr>
              <w:pStyle w:val="P68B1DB1-Normal3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</w:pPr>
            <w:r>
              <w:t xml:space="preserve">Különböző érdekelt felek, lakosok, oktatási intézmények, valamint helyi és regionális önkormányzatok bevonása </w:t>
            </w:r>
            <w:r>
              <w:rPr>
                <w:b/>
              </w:rPr>
              <w:t xml:space="preserve">3 bevált gyakorlatok cseréjére irányuló látogatás, 3 nyári tábor és 20 Energy Café rendezvény szervezése révén. </w:t>
            </w:r>
            <w:r>
              <w:t xml:space="preserve">Ezekre a tevékenységekre a Bihar és Hajdú-Bihar régióban kerül sor, és azokat a PP6 és a PP7 közösen szervezi. A megvalósítási időszak végére várhatóan legalább 884 résztvevő vesz majd részt ezekben a tevékenységekben, és a kibővített együttműködési intézkedések révén a régió mintegy 1 000 000 lakosa kap tájékoztatást a megújulóenergia-megoldások előnyeiről.</w:t>
            </w:r>
          </w:p>
          <w:p w14:paraId="4842F9EE" w14:textId="77777777">
            <w:pPr>
              <w:pStyle w:val="P68B1DB1-Normal3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</w:pPr>
            <w:r>
              <w:rPr>
                <w:b/>
              </w:rPr>
              <w:t xml:space="preserve">A partnerek által kidolgozott Helyes Gyakorlati Útmutató</w:t>
            </w:r>
            <w:r>
              <w:t xml:space="preserve"> a középületek határon átnyúló területén a megújuló energiaforrások hasznosítására vonatkozó közös megoldásokhoz. Az útmutató leírja a hőszivattyúk és hőcserélők telepítési megoldásait, az összes partnertől gyűjtött információk alapján.</w:t>
            </w:r>
          </w:p>
          <w:p w14:paraId="23C95B83" w14:textId="77777777">
            <w:pPr>
              <w:pStyle w:val="P68B1DB1-Normal3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</w:pPr>
            <w:r>
              <w:t xml:space="preserve">A bevált gyakorlatok cseréjét az érdekelt felek és a döntéshozók, valamint az európai hálózatok is elő fogják segíteni az LP keretében szervezett nemzetközi projekttalálkozókon, hogy megosszák egymással a levont tanulságokat:</w:t>
            </w:r>
          </w:p>
          <w:p w14:paraId="68C4F112" w14:textId="77777777">
            <w:pPr>
              <w:pStyle w:val="P68B1DB1-Normal3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</w:pPr>
            <w:r>
              <w:t xml:space="preserve">EXPRESS (Interreg Europe projekt): 2025. augusztus</w:t>
            </w:r>
          </w:p>
          <w:p w14:paraId="66612690" w14:textId="77777777">
            <w:pPr>
              <w:pStyle w:val="P68B1DB1-Normal3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</w:pPr>
            <w:r>
              <w:t xml:space="preserve">WEEEWaste (Interreg Europe projekt): 2025. február</w:t>
            </w:r>
          </w:p>
          <w:p w14:paraId="173E30B6" w14:textId="53D76804">
            <w:pPr>
              <w:pStyle w:val="P68B1DB1-Normal3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</w:pPr>
            <w:r>
              <w:t xml:space="preserve">A projekt háromnyelvű honlapja és szórólapjai hozzá fognak járulni a többnyelvűség előmozdításához. Minden projekt esemény ingyenes és a nyilvánosság számára nyitott lesz, megkülönböztetés nélkül.</w:t>
            </w:r>
          </w:p>
        </w:tc>
      </w:tr>
    </w:tbl>
    <w:p w14:paraId="2E5160C3" w14:textId="5D0B5ABE">
      <w:pPr>
        <w:spacing w:after="0"/>
        <w:jc w:val="both"/>
        <w:rPr>
          <w:rFonts w:cs="Open Sans"/>
          <w:color w:val="003399"/>
        </w:rPr>
      </w:pPr>
    </w:p>
    <w:sectPr>
      <w:headerReference w:type="default" r:id="rId7"/>
      <w:footerReference w:type="default" r:id="rId8"/>
      <w:type w:val="continuous"/>
      <w:pgSz w:w="11906" w:h="16838" w:code="9"/>
      <w:pgMar w:top="2127" w:right="707" w:bottom="1440" w:left="851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EBBA8" w14:textId="77777777">
      <w:pPr>
        <w:spacing w:after="0" w:line="240" w:lineRule="auto"/>
      </w:pPr>
      <w:r>
        <w:separator/>
      </w:r>
    </w:p>
  </w:endnote>
  <w:endnote w:type="continuationSeparator" w:id="0">
    <w:p w14:paraId="60F54D6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0886" w14:textId="77777777">
    <w:pPr>
      <w:pStyle w:val="Footer"/>
      <w:jc w:val="center"/>
      <w:rPr>
        <w:rFonts w:cs="Open Sans"/>
        <w:color w:val="003399"/>
      </w:rPr>
    </w:pPr>
    <w:r>
      <w:ptab w:relativeTo="margin" w:alignment="right" w:leader="none"/>
      <w:t>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EF194" w14:textId="77777777">
      <w:pPr>
        <w:spacing w:after="0" w:line="240" w:lineRule="auto"/>
      </w:pPr>
      <w:r>
        <w:separator/>
      </w:r>
    </w:p>
  </w:footnote>
  <w:footnote w:type="continuationSeparator" w:id="0">
    <w:p w14:paraId="21E7CDD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D5E6E" w14:textId="77777777">
    <w:pPr>
      <w:pStyle w:val="Header"/>
    </w:pPr>
    <w:r>
      <w:drawing>
        <wp:inline distT="0" distB="0" distL="0" distR="0" wp14:anchorId="0D4E0297" wp14:editId="04C60E86">
          <wp:extent cx="6462214" cy="747589"/>
          <wp:effectExtent l="0" t="0" r="0" b="0"/>
          <wp:docPr id="1" name="ábra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0404" cy="754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3688A"/>
    <w:multiLevelType w:val="multilevel"/>
    <w:tmpl w:val="103C1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6"/>
      <w:numFmt w:val="bullet"/>
      <w:lvlText w:val="-"/>
      <w:lvlJc w:val="left"/>
      <w:pPr>
        <w:ind w:left="1440" w:hanging="360"/>
      </w:pPr>
      <w:rPr>
        <w:rFonts w:ascii="Open Sans" w:eastAsia="Calibri" w:hAnsi="Open Sans" w:cs="Open San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D2CAA"/>
    <w:multiLevelType w:val="multilevel"/>
    <w:tmpl w:val="103C1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6"/>
      <w:numFmt w:val="bullet"/>
      <w:lvlText w:val="-"/>
      <w:lvlJc w:val="left"/>
      <w:pPr>
        <w:ind w:left="1440" w:hanging="360"/>
      </w:pPr>
      <w:rPr>
        <w:rFonts w:ascii="Open Sans" w:eastAsia="Calibri" w:hAnsi="Open Sans" w:cs="Open San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B17267"/>
    <w:multiLevelType w:val="multilevel"/>
    <w:tmpl w:val="103C1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6"/>
      <w:numFmt w:val="bullet"/>
      <w:lvlText w:val="-"/>
      <w:lvlJc w:val="left"/>
      <w:pPr>
        <w:ind w:left="1440" w:hanging="360"/>
      </w:pPr>
      <w:rPr>
        <w:rFonts w:ascii="Open Sans" w:eastAsia="Calibri" w:hAnsi="Open Sans" w:cs="Open San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34617D"/>
    <w:multiLevelType w:val="hybridMultilevel"/>
    <w:tmpl w:val="6B24D83E"/>
    <w:lvl w:ilvl="0" w:tplc="DA98B68A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b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42B23"/>
    <w:multiLevelType w:val="multilevel"/>
    <w:tmpl w:val="103C1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6"/>
      <w:numFmt w:val="bullet"/>
      <w:lvlText w:val="-"/>
      <w:lvlJc w:val="left"/>
      <w:pPr>
        <w:ind w:left="1440" w:hanging="360"/>
      </w:pPr>
      <w:rPr>
        <w:rFonts w:ascii="Open Sans" w:eastAsia="Calibri" w:hAnsi="Open Sans" w:cs="Open San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1B3F70"/>
    <w:multiLevelType w:val="hybridMultilevel"/>
    <w:tmpl w:val="FAD68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47206"/>
    <w:multiLevelType w:val="hybridMultilevel"/>
    <w:tmpl w:val="61462C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63268"/>
    <w:multiLevelType w:val="hybridMultilevel"/>
    <w:tmpl w:val="183E5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433BD"/>
    <w:multiLevelType w:val="hybridMultilevel"/>
    <w:tmpl w:val="459CFD22"/>
    <w:lvl w:ilvl="0" w:tplc="DA98B68A"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5D0BBE"/>
    <w:multiLevelType w:val="hybridMultilevel"/>
    <w:tmpl w:val="EC343374"/>
    <w:lvl w:ilvl="0" w:tplc="2230FC5C">
      <w:start w:val="3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DF079B"/>
    <w:multiLevelType w:val="hybridMultilevel"/>
    <w:tmpl w:val="EACC4F9A"/>
    <w:lvl w:ilvl="0" w:tplc="DA98B68A"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E05800"/>
    <w:multiLevelType w:val="hybridMultilevel"/>
    <w:tmpl w:val="3EA0E9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81CA6"/>
    <w:multiLevelType w:val="hybridMultilevel"/>
    <w:tmpl w:val="796C9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03AF4"/>
    <w:multiLevelType w:val="hybridMultilevel"/>
    <w:tmpl w:val="F3A47FA0"/>
    <w:lvl w:ilvl="0" w:tplc="DA98B68A"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1256C4"/>
    <w:multiLevelType w:val="multilevel"/>
    <w:tmpl w:val="CA526330"/>
    <w:lvl w:ilvl="0">
      <w:start w:val="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 Sans" w:eastAsia="Calibri" w:hAnsi="Open Sans" w:cs="Open Sans" w:hint="default"/>
      </w:rPr>
    </w:lvl>
    <w:lvl w:ilvl="1">
      <w:start w:val="36"/>
      <w:numFmt w:val="bullet"/>
      <w:lvlText w:val="-"/>
      <w:lvlJc w:val="left"/>
      <w:pPr>
        <w:ind w:left="1440" w:hanging="360"/>
      </w:pPr>
      <w:rPr>
        <w:rFonts w:ascii="Open Sans" w:eastAsia="Calibri" w:hAnsi="Open Sans" w:cs="Open San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6F5E3F"/>
    <w:multiLevelType w:val="multilevel"/>
    <w:tmpl w:val="D6E4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0A0709"/>
    <w:multiLevelType w:val="hybridMultilevel"/>
    <w:tmpl w:val="118444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692ADB"/>
    <w:multiLevelType w:val="multilevel"/>
    <w:tmpl w:val="CA526330"/>
    <w:lvl w:ilvl="0">
      <w:start w:val="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 Sans" w:eastAsia="Calibri" w:hAnsi="Open Sans" w:cs="Open Sans" w:hint="default"/>
      </w:rPr>
    </w:lvl>
    <w:lvl w:ilvl="1">
      <w:start w:val="36"/>
      <w:numFmt w:val="bullet"/>
      <w:lvlText w:val="-"/>
      <w:lvlJc w:val="left"/>
      <w:pPr>
        <w:ind w:left="1440" w:hanging="360"/>
      </w:pPr>
      <w:rPr>
        <w:rFonts w:ascii="Open Sans" w:eastAsia="Calibri" w:hAnsi="Open Sans" w:cs="Open San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1864262">
    <w:abstractNumId w:val="3"/>
  </w:num>
  <w:num w:numId="2" w16cid:durableId="1335305497">
    <w:abstractNumId w:val="16"/>
  </w:num>
  <w:num w:numId="3" w16cid:durableId="1487355793">
    <w:abstractNumId w:val="11"/>
  </w:num>
  <w:num w:numId="4" w16cid:durableId="881287704">
    <w:abstractNumId w:val="9"/>
  </w:num>
  <w:num w:numId="5" w16cid:durableId="874852420">
    <w:abstractNumId w:val="10"/>
  </w:num>
  <w:num w:numId="6" w16cid:durableId="1785149724">
    <w:abstractNumId w:val="6"/>
  </w:num>
  <w:num w:numId="7" w16cid:durableId="1504667513">
    <w:abstractNumId w:val="13"/>
  </w:num>
  <w:num w:numId="8" w16cid:durableId="917439275">
    <w:abstractNumId w:val="8"/>
  </w:num>
  <w:num w:numId="9" w16cid:durableId="304428663">
    <w:abstractNumId w:val="5"/>
  </w:num>
  <w:num w:numId="10" w16cid:durableId="1381710945">
    <w:abstractNumId w:val="15"/>
  </w:num>
  <w:num w:numId="11" w16cid:durableId="808714320">
    <w:abstractNumId w:val="7"/>
  </w:num>
  <w:num w:numId="12" w16cid:durableId="1188255359">
    <w:abstractNumId w:val="0"/>
  </w:num>
  <w:num w:numId="13" w16cid:durableId="1013608934">
    <w:abstractNumId w:val="12"/>
  </w:num>
  <w:num w:numId="14" w16cid:durableId="2108453976">
    <w:abstractNumId w:val="2"/>
  </w:num>
  <w:num w:numId="15" w16cid:durableId="1979720818">
    <w:abstractNumId w:val="14"/>
  </w:num>
  <w:num w:numId="16" w16cid:durableId="806124846">
    <w:abstractNumId w:val="4"/>
  </w:num>
  <w:num w:numId="17" w16cid:durableId="2145342098">
    <w:abstractNumId w:val="17"/>
  </w:num>
  <w:num w:numId="18" w16cid:durableId="68381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3E"/>
    <w:rsid w:val="000445CF"/>
    <w:rsid w:val="000F0D69"/>
    <w:rsid w:val="00105385"/>
    <w:rsid w:val="001163BF"/>
    <w:rsid w:val="001204B7"/>
    <w:rsid w:val="00190E0A"/>
    <w:rsid w:val="001946CE"/>
    <w:rsid w:val="001B0289"/>
    <w:rsid w:val="002216AE"/>
    <w:rsid w:val="00242594"/>
    <w:rsid w:val="002601E5"/>
    <w:rsid w:val="002642B0"/>
    <w:rsid w:val="00290CD3"/>
    <w:rsid w:val="002A5B39"/>
    <w:rsid w:val="003035E1"/>
    <w:rsid w:val="00352959"/>
    <w:rsid w:val="003620F5"/>
    <w:rsid w:val="00366834"/>
    <w:rsid w:val="00376591"/>
    <w:rsid w:val="00476033"/>
    <w:rsid w:val="004970FC"/>
    <w:rsid w:val="004A3DA2"/>
    <w:rsid w:val="004C55A5"/>
    <w:rsid w:val="0054292D"/>
    <w:rsid w:val="005A58E8"/>
    <w:rsid w:val="005B7B70"/>
    <w:rsid w:val="005C3698"/>
    <w:rsid w:val="00611F1C"/>
    <w:rsid w:val="00614C99"/>
    <w:rsid w:val="00620F95"/>
    <w:rsid w:val="00656019"/>
    <w:rsid w:val="00677B02"/>
    <w:rsid w:val="006A50CB"/>
    <w:rsid w:val="006B30F3"/>
    <w:rsid w:val="007120ED"/>
    <w:rsid w:val="00722416"/>
    <w:rsid w:val="00732D28"/>
    <w:rsid w:val="00761E91"/>
    <w:rsid w:val="007B6147"/>
    <w:rsid w:val="008C34C7"/>
    <w:rsid w:val="008C59FB"/>
    <w:rsid w:val="008E24AC"/>
    <w:rsid w:val="0097126B"/>
    <w:rsid w:val="009D0623"/>
    <w:rsid w:val="00A170BA"/>
    <w:rsid w:val="00A35463"/>
    <w:rsid w:val="00A53CBE"/>
    <w:rsid w:val="00A64984"/>
    <w:rsid w:val="00B24F49"/>
    <w:rsid w:val="00B57F8C"/>
    <w:rsid w:val="00B77B00"/>
    <w:rsid w:val="00B92ED0"/>
    <w:rsid w:val="00C02611"/>
    <w:rsid w:val="00C23211"/>
    <w:rsid w:val="00C23EAD"/>
    <w:rsid w:val="00CA0AA2"/>
    <w:rsid w:val="00CC0D9F"/>
    <w:rsid w:val="00D1768D"/>
    <w:rsid w:val="00D736AC"/>
    <w:rsid w:val="00DD151F"/>
    <w:rsid w:val="00DE4738"/>
    <w:rsid w:val="00DF4008"/>
    <w:rsid w:val="00DF48C5"/>
    <w:rsid w:val="00E06159"/>
    <w:rsid w:val="00E32878"/>
    <w:rsid w:val="00E3633D"/>
    <w:rsid w:val="00E71A4D"/>
    <w:rsid w:val="00E91B08"/>
    <w:rsid w:val="00EB0D64"/>
    <w:rsid w:val="00ED5F9F"/>
    <w:rsid w:val="00F0230A"/>
    <w:rsid w:val="00F119CB"/>
    <w:rsid w:val="00F5533E"/>
    <w:rsid w:val="00F7622A"/>
    <w:rsid w:val="00FB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059757"/>
  <w15:chartTrackingRefBased/>
  <w15:docId w15:val="{AFCDA521-B67C-4DE2-822F-598315B30601}"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pPrDefault>
      <w:pPr>
        <w:spacing w:after="160" w:line="259" w:lineRule="auto"/>
      </w:pPr>
    </w:pPrDefault>
    <w:rPrDefault>
      <w:rPr>
        <w:rFonts w:asciiTheme="minorHAnsi" w:hAnsiTheme="minorHAnsi" w:cstheme="minorBidi" w:eastAsiaTheme="minorHAnsi"/>
        <w:sz w:val="22"/>
        <w:lang w:val="hu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008"/>
    <w:pPr>
      <w:suppressAutoHyphens/>
      <w:autoSpaceDN w:val="0"/>
      <w:spacing w:line="249" w:lineRule="auto"/>
      <w:textAlignment w:val="baseline"/>
    </w:pPr>
    <w:rPr>
      <w:rFonts w:ascii="Open Sans" w:hAnsi="Open Sans" w:cs="Times New Roman" w:eastAsia="Calibri"/>
      <w:color w:val="2F5496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B08"/>
    <w:pPr>
      <w:keepNext/>
      <w:keepLines/>
      <w:spacing w:before="240" w:after="0"/>
      <w:outlineLvl w:val="0"/>
    </w:pPr>
    <w:rPr>
      <w:rFonts w:cstheme="majorBidi" w:eastAsiaTheme="majorEastAsia"/>
      <w:b/>
      <w:color w:val="2E74B5" w:themeColor="accent1" w:themeShade="B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211"/>
  </w:style>
  <w:style w:type="paragraph" w:styleId="Footer">
    <w:name w:val="footer"/>
    <w:basedOn w:val="Normal"/>
    <w:link w:val="Foot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211"/>
  </w:style>
  <w:style w:type="character" w:customStyle="1" w:styleId="Heading1Char">
    <w:name w:val="Heading 1 Char"/>
    <w:basedOn w:val="DefaultParagraphFont"/>
    <w:link w:val="Heading1"/>
    <w:uiPriority w:val="9"/>
    <w:rsid w:val="00E91B08"/>
    <w:rPr>
      <w:rFonts w:ascii="Arial" w:hAnsi="Arial" w:cstheme="majorBidi" w:eastAsiaTheme="majorEastAsia"/>
      <w:b/>
      <w:color w:val="2E74B5" w:themeColor="accent1" w:themeShade="BF"/>
      <w:sz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91B08"/>
    <w:pPr>
      <w:spacing w:after="0" w:line="240" w:lineRule="auto"/>
      <w:contextualSpacing/>
    </w:pPr>
    <w:rPr>
      <w:rFonts w:cstheme="majorBidi" w:eastAsiaTheme="majorEastAsia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E91B08"/>
    <w:rPr>
      <w:rFonts w:ascii="Arial" w:hAnsi="Arial" w:cstheme="majorBidi" w:eastAsiaTheme="majorEastAsia"/>
      <w:kern w:val="28"/>
      <w:sz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B08"/>
    <w:rPr>
      <w:rFonts w:ascii="Arial" w:hAnsi="Arial" w:eastAsiaTheme="minorEastAsia"/>
      <w:color w:val="5A5A5A" w:themeColor="text1" w:themeTint="A5"/>
      <w:sz w:val="28"/>
    </w:rPr>
  </w:style>
  <w:style w:type="character" w:styleId="IntenseEmphasis">
    <w:name w:val="Intense Emphasis"/>
    <w:basedOn w:val="DefaultParagraphFont"/>
    <w:uiPriority w:val="21"/>
    <w:qFormat/>
    <w:rsid w:val="00E91B08"/>
    <w:rPr>
      <w:rFonts w:ascii="Arial" w:hAnsi="Arial"/>
      <w:i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E91B08"/>
    <w:rPr>
      <w:rFonts w:ascii="Arial" w:hAnsi="Arial"/>
      <w:i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91B08"/>
    <w:rPr>
      <w:rFonts w:ascii="Arial" w:hAnsi="Arial"/>
      <w:i/>
    </w:rPr>
  </w:style>
  <w:style w:type="table" w:styleId="TableGrid">
    <w:name w:val="Table Grid"/>
    <w:basedOn w:val="TableNormal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40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06159"/>
    <w:rPr>
      <w:rFonts w:ascii="Times New Roman" w:hAnsi="Times New Roman"/>
      <w:sz w:val="24"/>
    </w:rPr>
  </w:style>
  <w:style w:type="paragraph" w:customStyle="1" w:styleId="P68B1DB1-Normal1">
    <w:name w:val="P68B1DB1-Normal1"/>
    <w:basedOn w:val="Normal"/>
    <w:rPr>
      <w:rFonts w:cs="Open Sans"/>
      <w:b/>
      <w:color w:val="FFFFFF"/>
    </w:rPr>
  </w:style>
  <w:style w:type="paragraph" w:customStyle="1" w:styleId="P68B1DB1-Normal2">
    <w:name w:val="P68B1DB1-Normal2"/>
    <w:basedOn w:val="Normal"/>
    <w:rPr>
      <w:rFonts w:cs="Open Sans"/>
      <w:b/>
      <w:color w:val="1F3864" w:themeColor="accent5" w:themeShade="80"/>
    </w:rPr>
  </w:style>
  <w:style w:type="paragraph" w:customStyle="1" w:styleId="P68B1DB1-Normal3">
    <w:name w:val="P68B1DB1-Normal3"/>
    <w:basedOn w:val="Normal"/>
    <w:rPr>
      <w:rFonts w:cs="Open Sans"/>
      <w:color w:val="1F3864" w:themeColor="accent5" w:themeShade="80"/>
    </w:rPr>
  </w:style>
  <w:style w:type="paragraph" w:customStyle="1" w:styleId="P68B1DB1-Normal4">
    <w:name w:val="P68B1DB1-Normal4"/>
    <w:basedOn w:val="Normal"/>
    <w:rPr>
      <w:color w:val="1F3864" w:themeColor="accent5" w:themeShade="80"/>
    </w:rPr>
  </w:style>
  <w:style w:type="paragraph" w:customStyle="1" w:styleId="P68B1DB1-ListParagraph5">
    <w:name w:val="P68B1DB1-ListParagraph5"/>
    <w:basedOn w:val="ListParagraph"/>
    <w:rPr>
      <w:rFonts w:cs="Open Sans"/>
    </w:rPr>
  </w:style>
  <w:style w:type="paragraph" w:customStyle="1" w:styleId="P68B1DB1-ListParagraph6">
    <w:name w:val="P68B1DB1-ListParagraph6"/>
    <w:basedOn w:val="ListParagraph"/>
    <w:rPr>
      <w:rFonts w:cs="Open Sans"/>
      <w:color w:val="1F3864" w:themeColor="accent5" w:themeShade="80"/>
    </w:rPr>
  </w:style>
  <w:style w:type="paragraph" w:customStyle="1" w:styleId="P68B1DB1-ListParagraph7">
    <w:name w:val="P68B1DB1-ListParagraph7"/>
    <w:basedOn w:val="ListParagraph"/>
    <w:rPr>
      <w:rFonts w:cs="Open Sans"/>
      <w:b/>
      <w:color w:val="1F3864" w:themeColor="accent5" w:themeShade="80"/>
    </w:rPr>
  </w:style>
  <w:style w:type="paragraph" w:styleId="P68B1DB1-P68B1DB1-Normal31">
    <w:name w:val="P68B1DB1-P68B1DB1-Normal31"/>
    <w:basedOn w:val="P68B1DB1-Normal3"/>
    <w:rPr>
      <w:color w:val="002060"/>
    </w:rPr>
  </w:style>
  <w:style w:type="paragraph" w:styleId="P68B1DB1-P68B1DB1-Normal32">
    <w:name w:val="P68B1DB1-P68B1DB1-Normal32"/>
    <w:basedOn w:val="P68B1DB1-Normal3"/>
    <w:rPr>
      <w:rFonts w:eastAsia="Times New Roman"/>
      <w:color w:val="002060"/>
    </w:rPr>
  </w:style>
  <w:style w:type="paragraph" w:styleId="P68B1DB1-Normal5">
    <w:name w:val="P68B1DB1-Normal5"/>
    <w:basedOn w:val="Normal"/>
    <w:rPr>
      <w:rFonts w:cs="Open Sans" w:eastAsia="Times New Roman"/>
      <w:color w:val="002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8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0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3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44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2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36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964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232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946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6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7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58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8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69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09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879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11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039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393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1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CamerzanOrsolya\Interreg%20ROHU\_VIM%202021-2027\7.%20Antet%20A4\RO\Antet%20A4%20Interreg%20RO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 Interreg RO Portrait</Template>
  <TotalTime>55</TotalTime>
  <Pages>3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Camerzan Orsolya</dc:creator>
  <cp:keywords/>
  <dc:description/>
  <cp:lastModifiedBy>Adriana Ghita</cp:lastModifiedBy>
  <cp:revision>10</cp:revision>
  <dcterms:created xsi:type="dcterms:W3CDTF">2025-02-25T10:03:00Z</dcterms:created>
  <dcterms:modified xsi:type="dcterms:W3CDTF">2025-03-07T11:45:00Z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ee1d862b9f0a5f44e41e5ff8af84f86f9ccb5e30310b3c22c4357e3f4228f5fa</vt:lpwstr>
  </property>
</Properties>
</file>