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9B" w14:textId="77777777">
      <w:pPr>
        <w:jc w:val="both"/>
        <w:rPr>
          <w:rFonts w:cs="Open Sans"/>
          <w:color w:val="003399"/>
        </w:rPr>
      </w:pPr>
    </w:p>
    <w:tbl>
      <w:tblPr>
        <w:tblW w:w="10525" w:type="dxa"/>
        <w:tblLayout w:type="fixed"/>
        <w:tblCellMar>
          <w:left w:w="10" w:type="dxa"/>
          <w:right w:w="10" w:type="dxa"/>
        </w:tblCellMar>
        <w:tblLook w:val="0000" w:firstRow="0" w:lastRow="0" w:firstColumn="0" w:lastColumn="0" w:noHBand="0" w:noVBand="0"/>
      </w:tblPr>
      <w:tblGrid>
        <w:gridCol w:w="2065"/>
        <w:gridCol w:w="8460"/>
      </w:tblGrid>
      <w:tr w14:paraId="2FCB8905" w14:textId="77777777">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30F4C1E1">
            <w:pPr>
              <w:pStyle w:val="P68B1DB1-P68B1DB1-Normal11"/>
              <w:spacing w:after="120" w:line="276" w:lineRule="auto"/>
              <w:jc w:val="both"/>
              <w:rPr>
                <w:rFonts w:cs="Open Sans"/>
              </w:rPr>
            </w:pPr>
            <w:r>
              <w:t xml:space="preserve">Felhívás típusa: Stratégiai jelentőségű műveletekre vonatkozó felhívás</w:t>
            </w:r>
          </w:p>
        </w:tc>
      </w:tr>
      <w:tr w14:paraId="0362BCF6" w14:textId="77777777">
        <w:trPr>
          <w:trHeight w:val="333"/>
        </w:trPr>
        <w:tc>
          <w:tcPr>
            <w:tcW w:w="2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49FA" w14:textId="78826771">
            <w:pPr>
              <w:pStyle w:val="P68B1DB1-P68B1DB1-Normal22"/>
              <w:spacing w:after="120" w:line="251" w:lineRule="auto"/>
              <w:jc w:val="center"/>
              <w:rPr>
                <w:rFonts w:cs="Open Sans"/>
                <w:sz w:val="20"/>
              </w:rPr>
            </w:pPr>
            <w:r>
              <w:t xml:space="preserve">Acronym &amp; Projekt kód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6C865" w14:textId="549BAA16">
            <w:pPr>
              <w:pStyle w:val="P68B1DB1-P68B1DB1-Normal33"/>
              <w:spacing w:after="120" w:line="276" w:lineRule="auto"/>
              <w:jc w:val="both"/>
              <w:rPr>
                <w:rFonts w:cs="Open Sans"/>
                <w:sz w:val="20"/>
              </w:rPr>
            </w:pPr>
            <w:r>
              <w:t xml:space="preserve">KULTURÁLIS ÉLŐ LAB – ROHU00618</w:t>
            </w:r>
          </w:p>
        </w:tc>
      </w:tr>
      <w:tr w14:paraId="1D2DEC3A" w14:textId="77777777">
        <w:trPr>
          <w:trHeight w:val="482"/>
        </w:trPr>
        <w:tc>
          <w:tcPr>
            <w:tcW w:w="2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DCFD" w14:textId="77777777">
            <w:pPr>
              <w:pStyle w:val="P68B1DB1-P68B1DB1-Normal22"/>
              <w:spacing w:after="120"/>
              <w:jc w:val="center"/>
              <w:rPr>
                <w:rFonts w:cs="Open Sans"/>
                <w:sz w:val="20"/>
              </w:rPr>
            </w:pPr>
            <w:r>
              <w:t xml:space="preserve">A projekt címe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3E40" w14:textId="4498E2CD">
            <w:pPr>
              <w:pStyle w:val="P68B1DB1-P68B1DB1-Norm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sz w:val="20"/>
              </w:rPr>
            </w:pPr>
            <w:r>
              <w:t xml:space="preserve">Román-magyar Határon Átnyúló Kulturális Élő Laboratórium</w:t>
            </w:r>
          </w:p>
        </w:tc>
      </w:tr>
      <w:tr w14:paraId="2ED899A6" w14:textId="77777777">
        <w:trPr>
          <w:trHeight w:val="437"/>
        </w:trPr>
        <w:tc>
          <w:tcPr>
            <w:tcW w:w="2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C31C9" w14:textId="7F3E20E8">
            <w:pPr>
              <w:pStyle w:val="P68B1DB1-P68B1DB1-Normal55"/>
              <w:spacing w:after="120"/>
              <w:jc w:val="center"/>
              <w:rPr>
                <w:rFonts w:cs="Open Sans"/>
                <w:sz w:val="20"/>
              </w:rPr>
            </w:pPr>
            <w:r>
              <w:t>Prioritás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8ECA" w14:textId="752312BE">
            <w:pPr>
              <w:pStyle w:val="P68B1DB1-P68B1DB1-Norma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sz w:val="20"/>
              </w:rPr>
            </w:pPr>
            <w:r>
              <w:t xml:space="preserve">P2 – Együttműködés egy szociálisabb és összetartóbb partnerségi megállapodás érdekében Románia és Magyarország között</w:t>
            </w:r>
          </w:p>
        </w:tc>
      </w:tr>
      <w:tr w14:paraId="5A450318" w14:textId="77777777">
        <w:trPr>
          <w:trHeight w:val="585"/>
        </w:trPr>
        <w:tc>
          <w:tcPr>
            <w:tcW w:w="2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F8B1" w14:textId="77777777">
            <w:pPr>
              <w:pStyle w:val="P68B1DB1-P68B1DB1-Normal55"/>
              <w:spacing w:after="120"/>
              <w:jc w:val="center"/>
              <w:rPr>
                <w:rFonts w:cs="Open Sans"/>
                <w:sz w:val="20"/>
              </w:rPr>
            </w:pPr>
            <w:r>
              <w:t xml:space="preserve">Célkitűzés </w:t>
            </w:r>
          </w:p>
          <w:p w14:paraId="468B4CF9" w14:textId="6EA812C5">
            <w:pPr>
              <w:pStyle w:val="P68B1DB1-P68B1DB1-Normal55"/>
              <w:spacing w:after="120"/>
              <w:jc w:val="center"/>
              <w:rPr>
                <w:rFonts w:cs="Open Sans"/>
                <w:sz w:val="20"/>
              </w:rPr>
            </w:pPr>
            <w:r>
              <w:t>Specifikus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3DD" w14:textId="4AD8F4BE">
            <w:pPr>
              <w:pStyle w:val="P68B1DB1-P68B1DB1-Normal44"/>
              <w:spacing w:after="120" w:line="276" w:lineRule="auto"/>
              <w:jc w:val="both"/>
              <w:rPr>
                <w:rFonts w:cs="Open Sans"/>
                <w:sz w:val="20"/>
              </w:rPr>
            </w:pPr>
            <w:r>
              <w:t xml:space="preserve">RS04.6 – A kultúra és a fenntartható turizmus szerepének erősítése a gazdasági fejlődésben, a társadalmi befogadásban és a társadalmi innovációban</w:t>
            </w:r>
          </w:p>
        </w:tc>
      </w:tr>
      <w:tr w14:paraId="7703D1F8" w14:textId="77777777">
        <w:tc>
          <w:tcPr>
            <w:tcW w:w="2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9972" w14:textId="77777777">
            <w:pPr>
              <w:pStyle w:val="P68B1DB1-P68B1DB1-Normal55"/>
              <w:spacing w:after="120"/>
              <w:jc w:val="center"/>
              <w:rPr>
                <w:rFonts w:cs="Open Sans"/>
                <w:sz w:val="20"/>
              </w:rPr>
            </w:pPr>
            <w:r>
              <w:t xml:space="preserve">Végrehajtási időszak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F6933" w14:textId="6E086A7E">
            <w:pPr>
              <w:pStyle w:val="P68B1DB1-P68B1DB1-Normal6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rPr>
            </w:pPr>
            <w:r>
              <w:t xml:space="preserve">36 hónap (2024. december 23. 2027. december 22.)</w:t>
            </w:r>
          </w:p>
        </w:tc>
      </w:tr>
      <w:tr w14:paraId="010F0453" w14:textId="77777777">
        <w:trPr>
          <w:trHeight w:val="1976"/>
        </w:trPr>
        <w:tc>
          <w:tcPr>
            <w:tcW w:w="2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B0E74" w14:textId="77777777">
            <w:pPr>
              <w:pStyle w:val="P68B1DB1-P68B1DB1-Normal55"/>
              <w:spacing w:after="120"/>
              <w:jc w:val="center"/>
              <w:rPr>
                <w:rFonts w:cs="Open Sans"/>
                <w:sz w:val="20"/>
              </w:rPr>
            </w:pPr>
            <w:r>
              <w:t>Célkitűzés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FC18" w14:textId="77777777">
            <w:pPr>
              <w:pStyle w:val="P68B1DB1-P68B1DB1-Normal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t xml:space="preserve">A projekt fő célja a kultúra szerepének erősítése a gazdasági fejlődésben, a társadalmi befogadásban és az innovációban a RO-HU régióban, összhangban az RSO4.6. Ez a következő kezdeményezések révén érhető el:</w:t>
            </w:r>
          </w:p>
          <w:p w14:paraId="1B319736" w14:textId="77777777">
            <w:pPr>
              <w:pStyle w:val="P68B1DB1-P68B1DB1-Normal66"/>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t xml:space="preserve">Egy határokon átnyúló kulturális élő laboratórium létrehozása az érintett szervezetek közötti kulturális cserék megkönnyítése érdekében egy kulturális helyszín megépítésével.</w:t>
            </w:r>
          </w:p>
          <w:p w14:paraId="1F865F9E" w14:textId="0CE4F227">
            <w:pPr>
              <w:pStyle w:val="P68B1DB1-P68B1DB1-Normal66"/>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t xml:space="preserve">A határokon átnyúló kulturális interakciók fokozása 11 közös fellépés, egy közös digitális platform létrehozása és egy ikerintézményi megállapodás létrehozása révén, amelyek mindegyike hozzájárul a kulturálisan élénk RO-HU régióhoz.</w:t>
            </w:r>
          </w:p>
        </w:tc>
      </w:tr>
      <w:tr w14:paraId="1EEF8B90" w14:textId="77777777">
        <w:trPr>
          <w:trHeight w:val="356"/>
        </w:trPr>
        <w:tc>
          <w:tcPr>
            <w:tcW w:w="20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5820D" w14:textId="77777777">
            <w:pPr>
              <w:pStyle w:val="P68B1DB1-P68B1DB1-Normal22"/>
              <w:spacing w:after="120"/>
              <w:jc w:val="center"/>
              <w:rPr>
                <w:rFonts w:cs="Open Sans"/>
                <w:sz w:val="20"/>
              </w:rPr>
            </w:pPr>
            <w:r>
              <w:t>Partnerség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2623C" w14:textId="6DE75F63">
            <w:pPr>
              <w:pStyle w:val="P68B1DB1-P68B1DB1-Normal4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sz w:val="20"/>
              </w:rPr>
            </w:pPr>
            <w:r>
              <w:t xml:space="preserve">Vezető partner: Bihar Megyei Tanács </w:t>
            </w:r>
          </w:p>
        </w:tc>
      </w:tr>
      <w:tr w14:paraId="527C4A89" w14:textId="77777777">
        <w:trPr>
          <w:trHeight w:val="509"/>
        </w:trPr>
        <w:tc>
          <w:tcPr>
            <w:tcW w:w="20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DF23" w14:textId="77777777">
            <w:pPr>
              <w:spacing w:after="0" w:line="251" w:lineRule="auto"/>
              <w:rPr>
                <w:rFonts w:cs="Open Sans"/>
                <w:b/>
                <w:color w:val="1F3864" w:themeColor="accent5" w:themeShade="80"/>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BCE" w14:textId="77777777">
            <w:pPr>
              <w:pStyle w:val="P68B1DB1-P68B1DB1-Normal44"/>
              <w:spacing w:after="0" w:line="276" w:lineRule="auto"/>
              <w:jc w:val="both"/>
              <w:rPr>
                <w:rFonts w:cs="Open Sans"/>
                <w:sz w:val="20"/>
              </w:rPr>
            </w:pPr>
            <w:r>
              <w:t>Projektpartnerek:</w:t>
            </w:r>
          </w:p>
          <w:p w14:paraId="7BCBBF71" w14:textId="3E3123C6">
            <w:pPr>
              <w:pStyle w:val="P68B1DB1-P68B1DB1-Normal44"/>
              <w:spacing w:after="0" w:line="276" w:lineRule="auto"/>
              <w:jc w:val="both"/>
              <w:rPr>
                <w:rFonts w:cs="Open Sans"/>
                <w:sz w:val="20"/>
              </w:rPr>
            </w:pPr>
            <w:r>
              <w:t xml:space="preserve">PP2 HU: Hajdú-Bihar Megyei Tanács </w:t>
            </w:r>
          </w:p>
        </w:tc>
      </w:tr>
      <w:tr w14:paraId="4EE4EBD1" w14:textId="77777777">
        <w:tc>
          <w:tcPr>
            <w:tcW w:w="2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469C" w14:textId="77777777">
            <w:pPr>
              <w:pStyle w:val="P68B1DB1-P68B1DB1-Normal22"/>
              <w:jc w:val="center"/>
              <w:rPr>
                <w:rFonts w:cs="Open Sans"/>
                <w:sz w:val="20"/>
              </w:rPr>
            </w:pPr>
            <w:r>
              <w:t xml:space="preserve">Teljes költségvetés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F5C2" w14:textId="30F516B1">
            <w:pPr>
              <w:pStyle w:val="P68B1DB1-P68B1DB1-Normal87"/>
              <w:spacing w:after="0" w:line="276" w:lineRule="auto"/>
              <w:jc w:val="both"/>
              <w:rPr>
                <w:rFonts w:cs="Open Sans"/>
                <w:sz w:val="20"/>
              </w:rPr>
            </w:pPr>
            <w:r>
              <w:rPr>
                <w:rFonts w:cs="Open Sans"/>
              </w:rPr>
              <w:t xml:space="preserve">8 893 85,00 EUR, ebből ERFA: 7 114 547,99 EUR</w:t>
            </w:r>
            <w:r>
              <w:rPr>
                <w:rFonts w:cs="Open Sans" w:eastAsia="Times New Roman"/>
                <w:b/>
              </w:rPr>
              <w:t xml:space="preserve"> </w:t>
            </w:r>
          </w:p>
        </w:tc>
      </w:tr>
      <w:tr w14:paraId="51B61C9D" w14:textId="77777777">
        <w:tc>
          <w:tcPr>
            <w:tcW w:w="2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790AF" w14:textId="77777777">
            <w:pPr>
              <w:pStyle w:val="P68B1DB1-P68B1DB1-Normal22"/>
              <w:jc w:val="center"/>
              <w:rPr>
                <w:rFonts w:cs="Open Sans"/>
                <w:sz w:val="20"/>
              </w:rPr>
            </w:pPr>
            <w:r>
              <w:t>Összefoglaló</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14D28" w14:textId="77777777">
            <w:pPr>
              <w:pStyle w:val="P68B1DB1-P68B1DB1-Normal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t xml:space="preserve">A határokon átnyúló kulturális élő laboratórium létrehozása elengedhetetlen a RO-HU régió kulturális, társadalmi és gazdasági kihívásainak kezeléséhez. A projekt kiaknázza a régió kulturális erőforrásait és lehetőségeit egy élénk, integrált és virágzó, határokon átnyúló közösség létrehozása érdekében. A projekt a következő megoldásokat javasolja: kulturális csereprogramok, a fiatalok szerepvállalására irányuló kezdeményezések, digitális kulturális platform kialakítása, a kulturális turizmus fejlesztése, infrastruktúrafejlesztés és határokon átnyúló közös fellépések. Az új, fizikai és virtuális terek létrehozása megkönnyíti az érintett szervezetek közötti kommunikációt, és növeli a kulturális események iránti érdeklődést, ami a lakosság viselkedésének és a kulturális fogyasztással való kapcsolatának megváltozásához vezet.</w:t>
            </w:r>
          </w:p>
          <w:p w14:paraId="52E19FE9" w14:textId="77777777">
            <w:pPr>
              <w:pStyle w:val="P68B1DB1-P68B1DB1-Normal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t xml:space="preserve">Fő projekttevékenységek:</w:t>
            </w:r>
          </w:p>
          <w:p w14:paraId="34C09A84" w14:textId="77777777">
            <w:pPr>
              <w:pStyle w:val="P68B1DB1-P68B1DB1-Normal66"/>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rPr>
                <w:b/>
              </w:rPr>
              <w:t xml:space="preserve">Multifunkcionális kulturális központ építése Bihar megyében:</w:t>
            </w:r>
            <w:r>
              <w:t xml:space="preserve"> A multifunkcionális kulturális központ egy komplexumból áll, amely magában foglalja a kulturális központ épületét, az épület főbejáratához vezető szabadtéri teret, a színpadhoz kapcsolódó tevékenységekre kijelölt területet és az épület melletti zöldterületet.</w:t>
            </w:r>
          </w:p>
          <w:p w14:paraId="5BF490DE" w14:textId="77777777">
            <w:pPr>
              <w:pStyle w:val="P68B1DB1-P68B1DB1-Normal66"/>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rPr>
                <w:b/>
              </w:rPr>
              <w:t xml:space="preserve">Földvásárlás és infrastruktúra-építés:</w:t>
            </w:r>
            <w:r>
              <w:t xml:space="preserve"> A közös kulturális tevékenységek során használt berendezések megfelelő tárolási feltételeinek biztosítása érdekében a Hajdú-Bihar Megyei Tanács úgy döntött, hogy a projekt keretében beszerzett földterületen könnyűszerkezetes épületet épít. Az új infrastruktúra biztonságos tárolóhelyként fog szolgálni a projekt által finanszírozott, valamint a saját hozzájárulással beszerzett értékes berendezések számára, a kulturális tevékenységek sikeres végrehajtásának megkönnyítése érdekében. A műszaki telephely a Hajdú-Bihar megyei Ebesben található. Az infrastruktúra jellemzői a következők:</w:t>
            </w:r>
          </w:p>
          <w:p w14:paraId="50668976" w14:textId="77777777">
            <w:pPr>
              <w:pStyle w:val="P68B1DB1-P68B1DB1-Normal66"/>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t xml:space="preserve">300 m² terület</w:t>
            </w:r>
          </w:p>
          <w:p w14:paraId="08B45487" w14:textId="77777777">
            <w:pPr>
              <w:pStyle w:val="P68B1DB1-P68B1DB1-Normal66"/>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t>Hőszigetelés</w:t>
            </w:r>
          </w:p>
          <w:p w14:paraId="091B7EA9" w14:textId="77777777">
            <w:pPr>
              <w:pStyle w:val="P68B1DB1-P68B1DB1-Normal66"/>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t xml:space="preserve">Lopás és tűz elleni védelem</w:t>
            </w:r>
          </w:p>
          <w:p w14:paraId="7ED6D509" w14:textId="77777777">
            <w:pPr>
              <w:pStyle w:val="P68B1DB1-P68B1DB1-Normal66"/>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t xml:space="preserve">Esővíz-elvezető rendszer</w:t>
            </w:r>
          </w:p>
          <w:p w14:paraId="12B7AA97" w14:textId="77777777">
            <w:pPr>
              <w:pStyle w:val="P68B1DB1-P68B1DB1-Normal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t xml:space="preserve">Puha tevékenységek:</w:t>
            </w:r>
          </w:p>
          <w:p w14:paraId="7C6DCB9F" w14:textId="396DF67B">
            <w:pPr>
              <w:pStyle w:val="P68B1DB1-P68B1DB1-Normal66"/>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rPr>
                <w:b/>
              </w:rPr>
              <w:t xml:space="preserve">A román-magyar kulturális visszhangok fesztiválja</w:t>
            </w:r>
            <w:r>
              <w:t xml:space="preserve"> kétnapos rendezvény lesz a nagyváradi új kulturális központban. Számos tevékenységre kerül sor, például hagyományos tánc- és zenei előadásokra, művészeti kiállításokra, hagyományos román és magyar ételeket felvonultató gasztronómiai vásárokra, kézműves műhelyekre, koncertekre, valamint a </w:t>
            </w:r>
            <w:r>
              <w:rPr>
                <w:b/>
              </w:rPr>
              <w:t xml:space="preserve">Bihar és Hajdú-Bihar megyék közötti ikerintézményi megállapodás hivatalos aláírásának ünnepi eseményére.</w:t>
            </w:r>
            <w:r>
              <w:t xml:space="preserve"> E megállapodás célja a két régió közötti kulturális, gazdasági és társadalmi kapcsolatok megerősítése, kihasználva közös történelmüket és földrajzi közelségüket.</w:t>
            </w:r>
          </w:p>
          <w:p w14:paraId="4E4166DE" w14:textId="47D36BED">
            <w:pPr>
              <w:pStyle w:val="P68B1DB1-P68B1DB1-Normal66"/>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rPr>
                <w:b/>
              </w:rPr>
              <w:t xml:space="preserve">12 közös kulturális rendezvény</w:t>
            </w:r>
            <w:r>
              <w:t xml:space="preserve"> szervezése a két közösség közötti együttműködés és eszmecsere ösztönzése érdekében, több mint 7500 résztvevővel. Ezek az események elsősorban helyi közreműködőket és előadókat vonnak be (hagyományos tánccsoportok, zenei együttesek, énekesek, hagyományos közösségek, kézművesek és népművészeti alkotók stb.), többek között:</w:t>
            </w:r>
          </w:p>
          <w:p w14:paraId="2793E23B" w14:textId="4BE6939D">
            <w:pPr>
              <w:pStyle w:val="P68B1DB1-P68B1DB1-Normal66"/>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rPr>
                <w:b/>
              </w:rPr>
              <w:t xml:space="preserve">Képzőművészeti tehetségkutató verseny</w:t>
            </w:r>
            <w:r>
              <w:t xml:space="preserve"> Bihar és Hajdú-Bihar megye településeinek részvételével (várható résztvevők: 2000 fő).</w:t>
            </w:r>
          </w:p>
          <w:p w14:paraId="6F5AB039" w14:textId="66389E42">
            <w:pPr>
              <w:pStyle w:val="P68B1DB1-P68B1DB1-Normal66"/>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rPr>
                <w:b/>
              </w:rPr>
              <w:t xml:space="preserve">3 képzőművészeti tábor a határmenti</w:t>
            </w:r>
            <w:r>
              <w:t xml:space="preserve"> régió résztvevőinek részvételével (várható résztvevők: 75 fő).</w:t>
            </w:r>
          </w:p>
          <w:p w14:paraId="05275CCB" w14:textId="77777777">
            <w:pPr>
              <w:pStyle w:val="P68B1DB1-P68B1DB1-Normal66"/>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rPr>
                <w:b/>
              </w:rPr>
              <w:t xml:space="preserve">Színházi előadások I. és II.</w:t>
            </w:r>
            <w:r>
              <w:t xml:space="preserve"> romániai és magyarországi színházak közreműködésével, a határon átnyúló régió közönségének megszólításával. Ez a tevékenység a korábbi ROHU445 stratégiai projekt bevált gyakorlataira épül.</w:t>
            </w:r>
          </w:p>
          <w:p w14:paraId="521F8261" w14:textId="6E629170">
            <w:pPr>
              <w:pStyle w:val="P68B1DB1-P68B1DB1-Normal66"/>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rPr>
                <w:b/>
              </w:rPr>
              <w:t xml:space="preserve">Közös hagyományos ünnepségek I. és II.</w:t>
            </w:r>
            <w:r>
              <w:t xml:space="preserve"> Bihar és Hajdú-Bihar megyék különböző településein.</w:t>
            </w:r>
          </w:p>
          <w:p w14:paraId="1DD9AAA4" w14:textId="77777777">
            <w:pPr>
              <w:pStyle w:val="P68B1DB1-P68B1DB1-Normal66"/>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rPr>
                <w:b/>
              </w:rPr>
              <w:t xml:space="preserve">2 Kulturális és turisztikai kiállítások:</w:t>
            </w:r>
            <w:r>
              <w:t xml:space="preserve"> A hangsúly a fürdőhelyeknek a települések társadalmi-gazdasági helyzetére gyakorolt hatásán lesz.</w:t>
            </w:r>
          </w:p>
          <w:p w14:paraId="18F6C92D" w14:textId="77777777">
            <w:pPr>
              <w:pStyle w:val="P68B1DB1-Norm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both"/>
              <w:rPr>
                <w:rFonts w:cs="Open Sans"/>
              </w:rPr>
            </w:pPr>
          </w:p>
          <w:p w14:paraId="42742288" w14:textId="77777777">
            <w:pPr>
              <w:pStyle w:val="P68B1DB1-P68B1DB1-Normal66"/>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rPr>
                <w:b/>
              </w:rPr>
              <w:t xml:space="preserve">Berendezések beszerzése</w:t>
            </w:r>
            <w:r>
              <w:t xml:space="preserve"> a Hajdú-Bihar Megyei Tanács által puha tevékenységek támogatására:</w:t>
            </w:r>
          </w:p>
          <w:p w14:paraId="7C5D83C9" w14:textId="77777777">
            <w:pPr>
              <w:pStyle w:val="P68B1DB1-Norm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p>
          <w:p w14:paraId="2A95A1B1" w14:textId="77777777">
            <w:pPr>
              <w:pStyle w:val="P68B1DB1-P68B1DB1-Normal66"/>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t xml:space="preserve">2 autó személyek és berendezések szállítására rendezvényekre.</w:t>
            </w:r>
          </w:p>
          <w:p w14:paraId="769F20B1" w14:textId="487D668E">
            <w:pPr>
              <w:pStyle w:val="P68B1DB1-P68B1DB1-Normal66"/>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rPr>
            </w:pPr>
            <w:r>
              <w:t xml:space="preserve">1 kamera, 2 digitális panel, 1 mobil színpad.</w:t>
            </w:r>
          </w:p>
        </w:tc>
      </w:tr>
      <w:tr w14:paraId="47DF7069" w14:textId="77777777">
        <w:tc>
          <w:tcPr>
            <w:tcW w:w="2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85AE" w14:textId="77777777">
            <w:pPr>
              <w:pStyle w:val="P68B1DB1-P68B1DB1-Normal22"/>
              <w:jc w:val="center"/>
              <w:rPr>
                <w:rFonts w:cs="Open Sans"/>
                <w:sz w:val="20"/>
              </w:rPr>
            </w:pPr>
            <w:r>
              <w:t xml:space="preserve">Főbb eredmények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679B" w14:textId="77777777">
            <w:pPr>
              <w:pStyle w:val="P68B1DB1-P68B1DB1-ListParagraph7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rFonts w:cs="Open Sans"/>
                <w:color w:val="002060"/>
              </w:rPr>
            </w:pPr>
            <w:r>
              <w:t xml:space="preserve">A projekt fő eredményei a következők:</w:t>
            </w:r>
          </w:p>
          <w:p w14:paraId="7AB32C4E" w14:textId="77777777">
            <w:pPr>
              <w:pStyle w:val="P68B1DB1-P68B1DB1-ListParagraph78"/>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rPr>
            </w:pPr>
            <w:r>
              <w:t xml:space="preserve">1 új kulturális helyszín támogatása Nagyváradon – Multifunkcionális Kulturális Központ</w:t>
            </w:r>
          </w:p>
          <w:p w14:paraId="1366C5E2" w14:textId="3CBA7FB5">
            <w:pPr>
              <w:pStyle w:val="P68B1DB1-P68B1DB1-ListParagraph79"/>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rPr>
            </w:pPr>
            <w:r>
              <w:rPr>
                <w:rFonts w:cs="Open Sans"/>
              </w:rPr>
              <w:t xml:space="preserve">Könnyűszerkezetes műszaki létesítmény építése Hajdú-Bihar megyében (Ebes) újonnan vásárolt építési területen.</w:t>
            </w:r>
            <w:r>
              <w:t xml:space="preserve"> </w:t>
            </w:r>
          </w:p>
          <w:p w14:paraId="04ABD7DB" w14:textId="0CDAD968">
            <w:pPr>
              <w:pStyle w:val="P68B1DB1-P68B1DB1-ListParagraph78"/>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rPr>
            </w:pPr>
            <w:r>
              <w:t xml:space="preserve">7 724 részvétel kulturális akciókban és rendezvényeken a 12 közös kulturális akció (táborok, tehetségversenyek, színházi előadások, hagyományos ünnepségek, kiállítások) révén elért megvalósítási időszakban, beleértve az évente megrendezésre kerülő "Román-Magyar Kulturális Visszhang Fesztivál" létrehozását is. A partnerek által kidolgozott kulturális rendezvények sokfélesége különböző célcsoportokat céloz meg, a gyermekektől az idősekig mindkét megyében.</w:t>
            </w:r>
          </w:p>
          <w:p w14:paraId="2652B3A1" w14:textId="366B449E">
            <w:pPr>
              <w:pStyle w:val="P68B1DB1-P68B1DB1-ListParagraph78"/>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rPr>
            </w:pPr>
            <w:r>
              <w:t xml:space="preserve">1 digitális kulturális platform, amelyet azért fejlesztettek ki, hogy jobban bevonja az összes releváns kulturális tényezőt.</w:t>
            </w:r>
          </w:p>
          <w:p w14:paraId="4DC1EEF8" w14:textId="06D212E0">
            <w:pPr>
              <w:pStyle w:val="P68B1DB1-P68B1DB1-ListParagraph78"/>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rPr>
            </w:pPr>
            <w:r>
              <w:t xml:space="preserve">1 ikerintézményi megállapodás aláírása Bihar és Hajdú-Bihar megyék között, beleértve 1 közös cselekvési tervet</w:t>
            </w:r>
          </w:p>
          <w:p w14:paraId="32EAAEAD" w14:textId="3AA1839B">
            <w:pPr>
              <w:pStyle w:val="P68B1DB1-ListParagraph1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rPr>
            </w:pPr>
            <w:r>
              <w:t xml:space="preserve">2 Határokon átnyúlóan együttműködő szervezet, nevezetesen az a két partner, akik közvetlenül részt vesznek a projektben, de más érintett kulturális szereplők számára a projekt befejezését követően közös tervek kidolgozását segítik elő </w:t>
            </w:r>
          </w:p>
          <w:p w14:paraId="57788DC9" w14:textId="77777777">
            <w:pPr>
              <w:pStyle w:val="P68B1DB1-Norm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rPr>
            </w:pPr>
          </w:p>
          <w:p w14:paraId="173E30B6" w14:textId="348CF426">
            <w:pPr>
              <w:pStyle w:val="P68B1DB1-P68B1DB1-Normal6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rPr>
            </w:pPr>
            <w:r>
              <w:t xml:space="preserve">Az outputok fő kedvezményezettjeit mindkét megye helyi és regionális hatóságai, érdekcsoportok, köztük nem kormányzati szervezetek, infrastrukturális és szolgáltatók, oktatási intézmények, kkv-k, a nagyközönség és mások képviselik.</w:t>
            </w:r>
          </w:p>
        </w:tc>
      </w:tr>
    </w:tbl>
    <w:p w14:paraId="2E5160C3" w14:textId="5D0B5ABE">
      <w:pPr>
        <w:spacing w:after="0"/>
        <w:jc w:val="both"/>
        <w:rPr>
          <w:rFonts w:cs="Open Sans"/>
          <w:color w:val="003399"/>
        </w:rPr>
      </w:pPr>
    </w:p>
    <w:sectPr>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A414A" w14:textId="77777777">
      <w:pPr>
        <w:spacing w:after="0" w:line="240" w:lineRule="auto"/>
      </w:pPr>
      <w:r>
        <w:separator/>
      </w:r>
    </w:p>
  </w:endnote>
  <w:endnote w:type="continuationSeparator" w:id="0">
    <w:p w14:paraId="57B925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pPr>
      <w:pStyle w:val="Footer"/>
      <w:jc w:val="center"/>
      <w:rPr>
        <w:rFonts w:cs="Open Sans"/>
        <w:color w:val="003399"/>
      </w:rPr>
    </w:pPr>
    <w:r>
      <w:ptab w:relativeTo="margin" w:alignment="right" w:leader="none"/>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F074" w14:textId="77777777">
      <w:pPr>
        <w:spacing w:after="0" w:line="240" w:lineRule="auto"/>
      </w:pPr>
      <w:r>
        <w:separator/>
      </w:r>
    </w:p>
  </w:footnote>
  <w:footnote w:type="continuationSeparator" w:id="0">
    <w:p w14:paraId="6DE8B49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77777777">
    <w:pPr>
      <w:pStyle w:val="Header"/>
    </w:pPr>
    <w:r>
      <w:drawing>
        <wp:inline distT="0" distB="0" distL="0" distR="0" wp14:anchorId="0D4E0297" wp14:editId="04C60E86">
          <wp:extent cx="6462214" cy="747589"/>
          <wp:effectExtent l="0" t="0" r="0" b="0"/>
          <wp:docPr id="1" name="á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845"/>
    <w:multiLevelType w:val="hybridMultilevel"/>
    <w:tmpl w:val="623C1C2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F0E14"/>
    <w:multiLevelType w:val="hybridMultilevel"/>
    <w:tmpl w:val="A52E78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FC0D16"/>
    <w:multiLevelType w:val="hybridMultilevel"/>
    <w:tmpl w:val="4AF60F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50D48"/>
    <w:multiLevelType w:val="hybridMultilevel"/>
    <w:tmpl w:val="80BC357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B0379E7"/>
    <w:multiLevelType w:val="hybridMultilevel"/>
    <w:tmpl w:val="BC96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B0D6A"/>
    <w:multiLevelType w:val="hybridMultilevel"/>
    <w:tmpl w:val="9294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76638"/>
    <w:multiLevelType w:val="hybridMultilevel"/>
    <w:tmpl w:val="66F8B9C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C0F12"/>
    <w:multiLevelType w:val="hybridMultilevel"/>
    <w:tmpl w:val="98160CBC"/>
    <w:lvl w:ilvl="0" w:tplc="DA98B68A">
      <w:numFmt w:val="bullet"/>
      <w:lvlText w:val="-"/>
      <w:lvlJc w:val="left"/>
      <w:pPr>
        <w:ind w:left="720" w:hanging="360"/>
      </w:pPr>
      <w:rPr>
        <w:rFonts w:ascii="Open Sans" w:eastAsia="Times New Roman" w:hAnsi="Open Sans" w:cs="Open Sans"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872A3"/>
    <w:multiLevelType w:val="hybridMultilevel"/>
    <w:tmpl w:val="5D82ABFA"/>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532D9"/>
    <w:multiLevelType w:val="hybridMultilevel"/>
    <w:tmpl w:val="4646710E"/>
    <w:lvl w:ilvl="0" w:tplc="DA98B68A">
      <w:numFmt w:val="bullet"/>
      <w:lvlText w:val="-"/>
      <w:lvlJc w:val="left"/>
      <w:pPr>
        <w:ind w:left="720" w:hanging="360"/>
      </w:pPr>
      <w:rPr>
        <w:rFonts w:ascii="Open Sans" w:eastAsia="Times New Roman" w:hAnsi="Open Sans" w:cs="Open Sans"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125018"/>
    <w:multiLevelType w:val="hybridMultilevel"/>
    <w:tmpl w:val="5F8AB07C"/>
    <w:lvl w:ilvl="0" w:tplc="2230FC5C">
      <w:start w:val="36"/>
      <w:numFmt w:val="bullet"/>
      <w:lvlText w:val="-"/>
      <w:lvlJc w:val="left"/>
      <w:pPr>
        <w:ind w:left="720" w:hanging="360"/>
      </w:pPr>
      <w:rPr>
        <w:rFonts w:ascii="Open Sans" w:eastAsia="Calibri" w:hAnsi="Open Sans" w:cs="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843A45"/>
    <w:multiLevelType w:val="hybridMultilevel"/>
    <w:tmpl w:val="CF300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82AA8"/>
    <w:multiLevelType w:val="hybridMultilevel"/>
    <w:tmpl w:val="3A4E185C"/>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604F58"/>
    <w:multiLevelType w:val="hybridMultilevel"/>
    <w:tmpl w:val="61D21A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7768C"/>
    <w:multiLevelType w:val="hybridMultilevel"/>
    <w:tmpl w:val="6E16DA2E"/>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AF7D5A"/>
    <w:multiLevelType w:val="hybridMultilevel"/>
    <w:tmpl w:val="DECCB3B2"/>
    <w:lvl w:ilvl="0" w:tplc="DA98B68A">
      <w:numFmt w:val="bullet"/>
      <w:lvlText w:val="-"/>
      <w:lvlJc w:val="left"/>
      <w:pPr>
        <w:ind w:left="360" w:hanging="360"/>
      </w:pPr>
      <w:rPr>
        <w:rFonts w:ascii="Open Sans" w:eastAsia="Times New Roman" w:hAnsi="Open Sans" w:cs="Open San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F103DB"/>
    <w:multiLevelType w:val="hybridMultilevel"/>
    <w:tmpl w:val="0BB8FD7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686021"/>
    <w:multiLevelType w:val="hybridMultilevel"/>
    <w:tmpl w:val="1B889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6A2AA6"/>
    <w:multiLevelType w:val="hybridMultilevel"/>
    <w:tmpl w:val="A8CE944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864262">
    <w:abstractNumId w:val="4"/>
  </w:num>
  <w:num w:numId="2" w16cid:durableId="1335305497">
    <w:abstractNumId w:val="24"/>
  </w:num>
  <w:num w:numId="3" w16cid:durableId="1487355793">
    <w:abstractNumId w:val="19"/>
  </w:num>
  <w:num w:numId="4" w16cid:durableId="881287704">
    <w:abstractNumId w:val="16"/>
  </w:num>
  <w:num w:numId="5" w16cid:durableId="874852420">
    <w:abstractNumId w:val="17"/>
  </w:num>
  <w:num w:numId="6" w16cid:durableId="1785149724">
    <w:abstractNumId w:val="7"/>
  </w:num>
  <w:num w:numId="7" w16cid:durableId="1504667513">
    <w:abstractNumId w:val="21"/>
  </w:num>
  <w:num w:numId="8" w16cid:durableId="917439275">
    <w:abstractNumId w:val="12"/>
  </w:num>
  <w:num w:numId="9" w16cid:durableId="1827432716">
    <w:abstractNumId w:val="11"/>
  </w:num>
  <w:num w:numId="10" w16cid:durableId="1175532783">
    <w:abstractNumId w:val="0"/>
  </w:num>
  <w:num w:numId="11" w16cid:durableId="1894778706">
    <w:abstractNumId w:val="26"/>
  </w:num>
  <w:num w:numId="12" w16cid:durableId="507061615">
    <w:abstractNumId w:val="18"/>
  </w:num>
  <w:num w:numId="13" w16cid:durableId="594173410">
    <w:abstractNumId w:val="23"/>
  </w:num>
  <w:num w:numId="14" w16cid:durableId="1774401766">
    <w:abstractNumId w:val="1"/>
  </w:num>
  <w:num w:numId="15" w16cid:durableId="722363311">
    <w:abstractNumId w:val="3"/>
  </w:num>
  <w:num w:numId="16" w16cid:durableId="949164506">
    <w:abstractNumId w:val="22"/>
  </w:num>
  <w:num w:numId="17" w16cid:durableId="184178741">
    <w:abstractNumId w:val="9"/>
  </w:num>
  <w:num w:numId="18" w16cid:durableId="35325902">
    <w:abstractNumId w:val="2"/>
  </w:num>
  <w:num w:numId="19" w16cid:durableId="1540363377">
    <w:abstractNumId w:val="20"/>
  </w:num>
  <w:num w:numId="20" w16cid:durableId="102844721">
    <w:abstractNumId w:val="5"/>
  </w:num>
  <w:num w:numId="21" w16cid:durableId="2145417788">
    <w:abstractNumId w:val="13"/>
  </w:num>
  <w:num w:numId="22" w16cid:durableId="1481077625">
    <w:abstractNumId w:val="14"/>
  </w:num>
  <w:num w:numId="23" w16cid:durableId="850994843">
    <w:abstractNumId w:val="15"/>
  </w:num>
  <w:num w:numId="24" w16cid:durableId="1857650542">
    <w:abstractNumId w:val="25"/>
  </w:num>
  <w:num w:numId="25" w16cid:durableId="2022734386">
    <w:abstractNumId w:val="8"/>
  </w:num>
  <w:num w:numId="26" w16cid:durableId="818770435">
    <w:abstractNumId w:val="6"/>
  </w:num>
  <w:num w:numId="27" w16cid:durableId="57166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84824"/>
    <w:rsid w:val="000C634C"/>
    <w:rsid w:val="000F0D69"/>
    <w:rsid w:val="00105385"/>
    <w:rsid w:val="001163BF"/>
    <w:rsid w:val="00190E0A"/>
    <w:rsid w:val="002216AE"/>
    <w:rsid w:val="00237B10"/>
    <w:rsid w:val="00242594"/>
    <w:rsid w:val="002601E5"/>
    <w:rsid w:val="002642B0"/>
    <w:rsid w:val="00273464"/>
    <w:rsid w:val="002739E5"/>
    <w:rsid w:val="00290CD3"/>
    <w:rsid w:val="002969B1"/>
    <w:rsid w:val="002A5B39"/>
    <w:rsid w:val="002C0CFB"/>
    <w:rsid w:val="003035E1"/>
    <w:rsid w:val="00310AB2"/>
    <w:rsid w:val="00352959"/>
    <w:rsid w:val="003620F5"/>
    <w:rsid w:val="00366834"/>
    <w:rsid w:val="00376591"/>
    <w:rsid w:val="004440C3"/>
    <w:rsid w:val="00446ECF"/>
    <w:rsid w:val="00464241"/>
    <w:rsid w:val="004A3DA2"/>
    <w:rsid w:val="004E7DFB"/>
    <w:rsid w:val="0054292D"/>
    <w:rsid w:val="005A58E8"/>
    <w:rsid w:val="005B7B70"/>
    <w:rsid w:val="005C3698"/>
    <w:rsid w:val="005F5460"/>
    <w:rsid w:val="005F6291"/>
    <w:rsid w:val="00614C99"/>
    <w:rsid w:val="006436FB"/>
    <w:rsid w:val="00677B02"/>
    <w:rsid w:val="006802F3"/>
    <w:rsid w:val="006B30F3"/>
    <w:rsid w:val="006E5E56"/>
    <w:rsid w:val="007120ED"/>
    <w:rsid w:val="00722416"/>
    <w:rsid w:val="00732D28"/>
    <w:rsid w:val="00761E91"/>
    <w:rsid w:val="007B6147"/>
    <w:rsid w:val="008C34C7"/>
    <w:rsid w:val="008E24AC"/>
    <w:rsid w:val="0094263A"/>
    <w:rsid w:val="0097126B"/>
    <w:rsid w:val="009C3D05"/>
    <w:rsid w:val="009D0623"/>
    <w:rsid w:val="00A048C0"/>
    <w:rsid w:val="00A170BA"/>
    <w:rsid w:val="00A35463"/>
    <w:rsid w:val="00A53CBE"/>
    <w:rsid w:val="00A64984"/>
    <w:rsid w:val="00A92339"/>
    <w:rsid w:val="00B24F49"/>
    <w:rsid w:val="00B57F8C"/>
    <w:rsid w:val="00B77B00"/>
    <w:rsid w:val="00B92ED0"/>
    <w:rsid w:val="00BD14A6"/>
    <w:rsid w:val="00C02611"/>
    <w:rsid w:val="00C23211"/>
    <w:rsid w:val="00C23EAD"/>
    <w:rsid w:val="00C53EA4"/>
    <w:rsid w:val="00C57028"/>
    <w:rsid w:val="00CA0AA2"/>
    <w:rsid w:val="00CD0EAE"/>
    <w:rsid w:val="00CD26A2"/>
    <w:rsid w:val="00CD79B6"/>
    <w:rsid w:val="00D1768D"/>
    <w:rsid w:val="00D463BF"/>
    <w:rsid w:val="00D65DD8"/>
    <w:rsid w:val="00D736AC"/>
    <w:rsid w:val="00D95133"/>
    <w:rsid w:val="00DE45C4"/>
    <w:rsid w:val="00DE4738"/>
    <w:rsid w:val="00DF4008"/>
    <w:rsid w:val="00E06159"/>
    <w:rsid w:val="00E14921"/>
    <w:rsid w:val="00E257B5"/>
    <w:rsid w:val="00E91B08"/>
    <w:rsid w:val="00EA3EB0"/>
    <w:rsid w:val="00EB0D64"/>
    <w:rsid w:val="00EB2615"/>
    <w:rsid w:val="00EC1D94"/>
    <w:rsid w:val="00EF6D1F"/>
    <w:rsid w:val="00F0230A"/>
    <w:rsid w:val="00F119CB"/>
    <w:rsid w:val="00F156D1"/>
    <w:rsid w:val="00F5533E"/>
    <w:rsid w:val="00F7622A"/>
    <w:rsid w:val="00FB5250"/>
  </w:rsids>
  <m:mathPr>
    <m:mathFont m:val="Cambria Math"/>
    <m:brkBin m:val="before"/>
    <m:brkBinSub m:val="--"/>
    <m:smallFrac m:val="0"/>
    <m:dispDef/>
    <m:lMargin m:val="0"/>
    <m:rMargin m:val="0"/>
    <m:defJc m:val="centerGroup"/>
    <m:wrapIndent m:val="1440"/>
    <m:intLim m:val="subSup"/>
    <m:naryLim m:val="undOvr"/>
  </m:mathPr>
  <w:themeFontLang w:val="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lang w:val="hu"/>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hAnsi="Open Sans" w:cs="Times New Roman" w:eastAsia="Calibri"/>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cstheme="majorBidi" w:eastAsiaTheme="majorEastAsia"/>
      <w:b/>
      <w:color w:val="2E74B5" w:themeColor="accent1" w:themeShade="BF"/>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hAnsi="Arial" w:cstheme="majorBidi" w:eastAsiaTheme="majorEastAsia"/>
      <w:b/>
      <w:color w:val="2E74B5" w:themeColor="accent1" w:themeShade="BF"/>
      <w:sz w:val="32"/>
    </w:rPr>
  </w:style>
  <w:style w:type="paragraph" w:styleId="Title">
    <w:name w:val="Title"/>
    <w:basedOn w:val="Normal"/>
    <w:next w:val="Normal"/>
    <w:link w:val="TitleChar"/>
    <w:uiPriority w:val="10"/>
    <w:qFormat/>
    <w:rsid w:val="00E91B08"/>
    <w:pPr>
      <w:spacing w:after="0" w:line="240" w:lineRule="auto"/>
      <w:contextualSpacing/>
    </w:pPr>
    <w:rPr>
      <w:rFonts w:cstheme="majorBidi" w:eastAsiaTheme="majorEastAsia"/>
      <w:kern w:val="28"/>
      <w:sz w:val="56"/>
    </w:rPr>
  </w:style>
  <w:style w:type="character" w:customStyle="1" w:styleId="TitleChar">
    <w:name w:val="Title Char"/>
    <w:basedOn w:val="DefaultParagraphFont"/>
    <w:link w:val="Title"/>
    <w:uiPriority w:val="10"/>
    <w:rsid w:val="00E91B08"/>
    <w:rPr>
      <w:rFonts w:ascii="Arial" w:hAnsi="Arial" w:cstheme="majorBidi" w:eastAsiaTheme="majorEastAsia"/>
      <w:kern w:val="28"/>
      <w:sz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z w:val="28"/>
    </w:rPr>
  </w:style>
  <w:style w:type="character" w:customStyle="1" w:styleId="SubtitleChar">
    <w:name w:val="Subtitle Char"/>
    <w:basedOn w:val="DefaultParagraphFont"/>
    <w:link w:val="Subtitle"/>
    <w:uiPriority w:val="11"/>
    <w:rsid w:val="00E91B08"/>
    <w:rPr>
      <w:rFonts w:ascii="Arial" w:hAnsi="Arial" w:eastAsiaTheme="minorEastAsia"/>
      <w:color w:val="5A5A5A" w:themeColor="text1" w:themeTint="A5"/>
      <w:sz w:val="28"/>
    </w:rPr>
  </w:style>
  <w:style w:type="character" w:styleId="IntenseEmphasis">
    <w:name w:val="Intense Emphasis"/>
    <w:basedOn w:val="DefaultParagraphFont"/>
    <w:uiPriority w:val="21"/>
    <w:qFormat/>
    <w:rsid w:val="00E91B08"/>
    <w:rPr>
      <w:rFonts w:ascii="Arial" w:hAnsi="Arial"/>
      <w:i/>
      <w:color w:val="5B9BD5" w:themeColor="accent1"/>
    </w:rPr>
  </w:style>
  <w:style w:type="character" w:styleId="SubtleEmphasis">
    <w:name w:val="Subtle Emphasis"/>
    <w:basedOn w:val="DefaultParagraphFont"/>
    <w:uiPriority w:val="19"/>
    <w:qFormat/>
    <w:rsid w:val="00E91B08"/>
    <w:rPr>
      <w:rFonts w:ascii="Arial" w:hAnsi="Arial"/>
      <w:i/>
      <w:color w:val="404040" w:themeColor="text1" w:themeTint="BF"/>
    </w:rPr>
  </w:style>
  <w:style w:type="character" w:styleId="Emphasis">
    <w:name w:val="Emphasis"/>
    <w:basedOn w:val="DefaultParagraphFont"/>
    <w:uiPriority w:val="20"/>
    <w:qFormat/>
    <w:rsid w:val="00E91B08"/>
    <w:rPr>
      <w:rFonts w:ascii="Arial" w:hAnsi="Arial"/>
      <w:i/>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rPr>
  </w:style>
  <w:style w:type="paragraph" w:customStyle="1" w:styleId="P68B1DB1-Normal1">
    <w:name w:val="P68B1DB1-Normal1"/>
    <w:basedOn w:val="Normal"/>
    <w:rPr>
      <w:rFonts w:cs="Calibri"/>
      <w:b/>
      <w:color w:val="FFFFFF"/>
    </w:rPr>
  </w:style>
  <w:style w:type="paragraph" w:customStyle="1" w:styleId="P68B1DB1-Normal2">
    <w:name w:val="P68B1DB1-Normal2"/>
    <w:basedOn w:val="Normal"/>
    <w:rPr>
      <w:rFonts w:cs="Calibri"/>
      <w:b/>
      <w:color w:val="1F3864" w:themeColor="accent5" w:themeShade="80"/>
      <w:sz w:val="22"/>
    </w:rPr>
  </w:style>
  <w:style w:type="paragraph" w:customStyle="1" w:styleId="P68B1DB1-Normal3">
    <w:name w:val="P68B1DB1-Normal3"/>
    <w:basedOn w:val="Normal"/>
    <w:rPr>
      <w:rFonts w:cs="Calibri"/>
      <w:color w:val="1F3864" w:themeColor="accent5" w:themeShade="80"/>
      <w:sz w:val="22"/>
    </w:rPr>
  </w:style>
  <w:style w:type="paragraph" w:customStyle="1" w:styleId="P68B1DB1-Normal4">
    <w:name w:val="P68B1DB1-Normal4"/>
    <w:basedOn w:val="Normal"/>
    <w:rPr>
      <w:color w:val="1F3864" w:themeColor="accent5" w:themeShade="80"/>
      <w:sz w:val="22"/>
    </w:rPr>
  </w:style>
  <w:style w:type="paragraph" w:customStyle="1" w:styleId="P68B1DB1-Normal5">
    <w:name w:val="P68B1DB1-Normal5"/>
    <w:basedOn w:val="Normal"/>
    <w:rPr>
      <w:b/>
      <w:color w:val="1F3864" w:themeColor="accent5" w:themeShade="80"/>
      <w:sz w:val="22"/>
    </w:rPr>
  </w:style>
  <w:style w:type="paragraph" w:customStyle="1" w:styleId="P68B1DB1-Normal6">
    <w:name w:val="P68B1DB1-Normal6"/>
    <w:basedOn w:val="Normal"/>
    <w:rPr>
      <w:color w:val="1F3864" w:themeColor="accent5" w:themeShade="80"/>
    </w:rPr>
  </w:style>
  <w:style w:type="paragraph" w:customStyle="1" w:styleId="P68B1DB1-ListParagraph7">
    <w:name w:val="P68B1DB1-ListParagraph7"/>
    <w:basedOn w:val="ListParagraph"/>
    <w:rPr>
      <w:color w:val="1F3864" w:themeColor="accent5" w:themeShade="80"/>
    </w:rPr>
  </w:style>
  <w:style w:type="paragraph" w:customStyle="1" w:styleId="P68B1DB1-Normal8">
    <w:name w:val="P68B1DB1-Normal8"/>
    <w:basedOn w:val="Normal"/>
    <w:rPr>
      <w:color w:val="1F3864" w:themeColor="accent5" w:themeShade="80"/>
      <w:sz w:val="22"/>
    </w:rPr>
  </w:style>
  <w:style w:type="paragraph" w:styleId="P68B1DB1-P68B1DB1-Normal11">
    <w:name w:val="P68B1DB1-P68B1DB1-Normal11"/>
    <w:basedOn w:val="P68B1DB1-Normal1"/>
    <w:rPr>
      <w:rFonts w:cs="Open Sans"/>
    </w:rPr>
  </w:style>
  <w:style w:type="paragraph" w:styleId="P68B1DB1-P68B1DB1-Normal22">
    <w:name w:val="P68B1DB1-P68B1DB1-Normal22"/>
    <w:basedOn w:val="P68B1DB1-Normal2"/>
    <w:rPr>
      <w:rFonts w:cs="Open Sans"/>
      <w:sz w:val="20"/>
    </w:rPr>
  </w:style>
  <w:style w:type="paragraph" w:styleId="P68B1DB1-P68B1DB1-Normal33">
    <w:name w:val="P68B1DB1-P68B1DB1-Normal33"/>
    <w:basedOn w:val="P68B1DB1-Normal3"/>
    <w:rPr>
      <w:rFonts w:cs="Open Sans"/>
      <w:sz w:val="20"/>
    </w:rPr>
  </w:style>
  <w:style w:type="paragraph" w:styleId="P68B1DB1-P68B1DB1-Normal44">
    <w:name w:val="P68B1DB1-P68B1DB1-Normal44"/>
    <w:basedOn w:val="P68B1DB1-Normal4"/>
    <w:rPr>
      <w:rFonts w:cs="Open Sans"/>
      <w:sz w:val="20"/>
    </w:rPr>
  </w:style>
  <w:style w:type="paragraph" w:styleId="P68B1DB1-P68B1DB1-Normal55">
    <w:name w:val="P68B1DB1-P68B1DB1-Normal55"/>
    <w:basedOn w:val="P68B1DB1-Normal5"/>
    <w:rPr>
      <w:rFonts w:cs="Open Sans"/>
      <w:sz w:val="20"/>
    </w:rPr>
  </w:style>
  <w:style w:type="paragraph" w:styleId="P68B1DB1-P68B1DB1-Normal66">
    <w:name w:val="P68B1DB1-P68B1DB1-Normal66"/>
    <w:basedOn w:val="P68B1DB1-Normal6"/>
    <w:rPr>
      <w:rFonts w:cs="Open Sans"/>
    </w:rPr>
  </w:style>
  <w:style w:type="paragraph" w:styleId="P68B1DB1-P68B1DB1-Normal87">
    <w:name w:val="P68B1DB1-P68B1DB1-Normal87"/>
    <w:basedOn w:val="P68B1DB1-Normal8"/>
    <w:rPr>
      <w:sz w:val="20"/>
    </w:rPr>
  </w:style>
  <w:style w:type="paragraph" w:styleId="P68B1DB1-P68B1DB1-ListParagraph78">
    <w:name w:val="P68B1DB1-P68B1DB1-ListParagraph78"/>
    <w:basedOn w:val="P68B1DB1-ListParagraph7"/>
    <w:rPr>
      <w:rFonts w:cs="Open Sans"/>
      <w:color w:val="002060"/>
    </w:rPr>
  </w:style>
  <w:style w:type="paragraph" w:styleId="P68B1DB1-P68B1DB1-ListParagraph79">
    <w:name w:val="P68B1DB1-P68B1DB1-ListParagraph79"/>
    <w:basedOn w:val="P68B1DB1-ListParagraph7"/>
    <w:rPr>
      <w:color w:val="002060"/>
    </w:rPr>
  </w:style>
  <w:style w:type="paragraph" w:styleId="P68B1DB1-ListParagraph10">
    <w:name w:val="P68B1DB1-ListParagraph10"/>
    <w:basedOn w:val="ListParagraph"/>
    <w:rPr>
      <w:rFonts w:cs="Open Sans"/>
      <w:color w:val="002060"/>
    </w:rPr>
  </w:style>
  <w:style w:type="paragraph" w:styleId="P68B1DB1-P68B1DB1-Normal611">
    <w:name w:val="P68B1DB1-P68B1DB1-Normal611"/>
    <w:basedOn w:val="P68B1DB1-Normal6"/>
    <w:rPr>
      <w:rFonts w:cs="Open Sans"/>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452333932">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054819481">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146</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Adriana Ghita</cp:lastModifiedBy>
  <cp:revision>24</cp:revision>
  <dcterms:created xsi:type="dcterms:W3CDTF">2025-02-25T10:04:00Z</dcterms:created>
  <dcterms:modified xsi:type="dcterms:W3CDTF">2025-03-07T12:38:00Z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